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drawings/drawing2.xml" ContentType="application/vnd.openxmlformats-officedocument.drawingml.chartshapes+xml"/>
  <Override PartName="/word/charts/chart4.xml" ContentType="application/vnd.openxmlformats-officedocument.drawingml.chart+xml"/>
  <Override PartName="/word/drawings/drawing3.xml" ContentType="application/vnd.openxmlformats-officedocument.drawingml.chartshapes+xml"/>
  <Override PartName="/word/charts/chart5.xml" ContentType="application/vnd.openxmlformats-officedocument.drawingml.chart+xml"/>
  <Override PartName="/word/drawings/drawing4.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rawings/drawing5.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2AE" w:rsidRPr="006032AE" w:rsidRDefault="006032AE" w:rsidP="00EF38D9">
      <w:pPr>
        <w:spacing w:after="0" w:line="240" w:lineRule="auto"/>
        <w:ind w:left="4956"/>
        <w:jc w:val="both"/>
        <w:rPr>
          <w:rFonts w:ascii="Times New Roman" w:hAnsi="Times New Roman" w:cs="Times New Roman"/>
          <w:sz w:val="28"/>
          <w:szCs w:val="28"/>
          <w:lang w:val="uk-UA"/>
        </w:rPr>
      </w:pPr>
      <w:r w:rsidRPr="006032AE">
        <w:rPr>
          <w:rFonts w:ascii="Times New Roman" w:hAnsi="Times New Roman" w:cs="Times New Roman"/>
          <w:sz w:val="28"/>
          <w:szCs w:val="28"/>
          <w:lang w:val="uk-UA"/>
        </w:rPr>
        <w:t xml:space="preserve">Додаток до рішення </w:t>
      </w:r>
    </w:p>
    <w:p w:rsidR="006032AE" w:rsidRDefault="006032AE" w:rsidP="00EF38D9">
      <w:pPr>
        <w:spacing w:after="0" w:line="240" w:lineRule="auto"/>
        <w:ind w:left="4956"/>
        <w:jc w:val="both"/>
        <w:rPr>
          <w:rFonts w:ascii="Times New Roman" w:hAnsi="Times New Roman" w:cs="Times New Roman"/>
          <w:sz w:val="28"/>
          <w:szCs w:val="28"/>
          <w:lang w:val="uk-UA"/>
        </w:rPr>
      </w:pPr>
      <w:r w:rsidRPr="006032AE">
        <w:rPr>
          <w:rFonts w:ascii="Times New Roman" w:hAnsi="Times New Roman" w:cs="Times New Roman"/>
          <w:sz w:val="28"/>
          <w:szCs w:val="28"/>
          <w:lang w:val="uk-UA"/>
        </w:rPr>
        <w:t xml:space="preserve">Лубенської міської ради </w:t>
      </w:r>
    </w:p>
    <w:p w:rsidR="00EF38D9" w:rsidRPr="006032AE" w:rsidRDefault="006032AE" w:rsidP="00EF38D9">
      <w:pPr>
        <w:spacing w:after="0" w:line="240" w:lineRule="auto"/>
        <w:ind w:left="4956"/>
        <w:jc w:val="both"/>
        <w:rPr>
          <w:rFonts w:ascii="Times New Roman" w:hAnsi="Times New Roman" w:cs="Times New Roman"/>
          <w:sz w:val="28"/>
          <w:szCs w:val="28"/>
          <w:lang w:val="uk-UA"/>
        </w:rPr>
      </w:pPr>
      <w:r w:rsidRPr="006032AE">
        <w:rPr>
          <w:rFonts w:ascii="Times New Roman" w:hAnsi="Times New Roman" w:cs="Times New Roman"/>
          <w:sz w:val="28"/>
          <w:szCs w:val="28"/>
          <w:lang w:val="uk-UA"/>
        </w:rPr>
        <w:t xml:space="preserve">від </w:t>
      </w:r>
      <w:r>
        <w:rPr>
          <w:rFonts w:ascii="Times New Roman" w:hAnsi="Times New Roman" w:cs="Times New Roman"/>
          <w:sz w:val="28"/>
          <w:szCs w:val="28"/>
          <w:lang w:val="uk-UA"/>
        </w:rPr>
        <w:t>7 жовтня 2021 року</w:t>
      </w:r>
      <w:bookmarkStart w:id="0" w:name="_GoBack"/>
      <w:bookmarkEnd w:id="0"/>
    </w:p>
    <w:p w:rsidR="00EF38D9" w:rsidRDefault="00EF38D9" w:rsidP="00711D23">
      <w:pPr>
        <w:spacing w:after="0" w:line="240" w:lineRule="auto"/>
        <w:jc w:val="center"/>
        <w:rPr>
          <w:rFonts w:ascii="Times New Roman" w:hAnsi="Times New Roman" w:cs="Times New Roman"/>
          <w:b/>
          <w:sz w:val="28"/>
          <w:szCs w:val="28"/>
          <w:lang w:val="uk-UA"/>
        </w:rPr>
      </w:pPr>
    </w:p>
    <w:p w:rsidR="006032AE" w:rsidRDefault="006032AE" w:rsidP="00711D23">
      <w:pPr>
        <w:spacing w:after="0" w:line="240" w:lineRule="auto"/>
        <w:jc w:val="center"/>
        <w:rPr>
          <w:rFonts w:ascii="Times New Roman" w:hAnsi="Times New Roman" w:cs="Times New Roman"/>
          <w:b/>
          <w:sz w:val="28"/>
          <w:szCs w:val="28"/>
          <w:lang w:val="uk-UA"/>
        </w:rPr>
      </w:pPr>
    </w:p>
    <w:p w:rsidR="006032AE" w:rsidRDefault="006032AE" w:rsidP="00711D23">
      <w:pPr>
        <w:spacing w:after="0" w:line="240" w:lineRule="auto"/>
        <w:jc w:val="center"/>
        <w:rPr>
          <w:rFonts w:ascii="Times New Roman" w:hAnsi="Times New Roman" w:cs="Times New Roman"/>
          <w:b/>
          <w:sz w:val="28"/>
          <w:szCs w:val="28"/>
          <w:lang w:val="uk-UA"/>
        </w:rPr>
      </w:pPr>
    </w:p>
    <w:p w:rsidR="00112E1B" w:rsidRDefault="00711D23" w:rsidP="00711D23">
      <w:pPr>
        <w:spacing w:after="0" w:line="240" w:lineRule="auto"/>
        <w:jc w:val="center"/>
        <w:rPr>
          <w:rFonts w:ascii="Times New Roman" w:hAnsi="Times New Roman" w:cs="Times New Roman"/>
          <w:b/>
          <w:sz w:val="28"/>
          <w:szCs w:val="28"/>
          <w:lang w:val="uk-UA"/>
        </w:rPr>
      </w:pPr>
      <w:r w:rsidRPr="00711D23">
        <w:rPr>
          <w:rFonts w:ascii="Times New Roman" w:hAnsi="Times New Roman" w:cs="Times New Roman"/>
          <w:b/>
          <w:sz w:val="28"/>
          <w:szCs w:val="28"/>
          <w:lang w:val="uk-UA"/>
        </w:rPr>
        <w:t>Прогноз</w:t>
      </w:r>
    </w:p>
    <w:p w:rsidR="00711D23" w:rsidRPr="00711D23" w:rsidRDefault="00711D23" w:rsidP="00711D23">
      <w:pPr>
        <w:spacing w:after="0" w:line="240" w:lineRule="auto"/>
        <w:jc w:val="center"/>
        <w:rPr>
          <w:rFonts w:ascii="Times New Roman" w:hAnsi="Times New Roman" w:cs="Times New Roman"/>
          <w:b/>
          <w:sz w:val="28"/>
          <w:szCs w:val="28"/>
          <w:lang w:val="uk-UA"/>
        </w:rPr>
      </w:pPr>
      <w:r w:rsidRPr="00711D23">
        <w:rPr>
          <w:rFonts w:ascii="Times New Roman" w:hAnsi="Times New Roman" w:cs="Times New Roman"/>
          <w:b/>
          <w:sz w:val="28"/>
          <w:szCs w:val="28"/>
          <w:lang w:val="uk-UA"/>
        </w:rPr>
        <w:t>бюджету Лубенської міської територіальної громади</w:t>
      </w:r>
    </w:p>
    <w:p w:rsidR="00711D23" w:rsidRDefault="00711D23" w:rsidP="00711D23">
      <w:pPr>
        <w:spacing w:after="0" w:line="240" w:lineRule="auto"/>
        <w:jc w:val="center"/>
        <w:rPr>
          <w:rFonts w:ascii="Times New Roman" w:hAnsi="Times New Roman" w:cs="Times New Roman"/>
          <w:b/>
          <w:sz w:val="28"/>
          <w:szCs w:val="28"/>
          <w:lang w:val="uk-UA"/>
        </w:rPr>
      </w:pPr>
      <w:r w:rsidRPr="00711D23">
        <w:rPr>
          <w:rFonts w:ascii="Times New Roman" w:hAnsi="Times New Roman" w:cs="Times New Roman"/>
          <w:b/>
          <w:sz w:val="28"/>
          <w:szCs w:val="28"/>
          <w:lang w:val="uk-UA"/>
        </w:rPr>
        <w:t>на 2022-2024 роки</w:t>
      </w:r>
    </w:p>
    <w:p w:rsidR="00B65BA4" w:rsidRPr="00711D23" w:rsidRDefault="00B65BA4" w:rsidP="00711D23">
      <w:pPr>
        <w:spacing w:after="0" w:line="240" w:lineRule="auto"/>
        <w:jc w:val="center"/>
        <w:rPr>
          <w:rFonts w:ascii="Times New Roman" w:hAnsi="Times New Roman" w:cs="Times New Roman"/>
          <w:b/>
          <w:sz w:val="28"/>
          <w:szCs w:val="28"/>
          <w:lang w:val="uk-UA"/>
        </w:rPr>
      </w:pPr>
    </w:p>
    <w:p w:rsidR="00711D23" w:rsidRDefault="00711D23" w:rsidP="00711D23">
      <w:pPr>
        <w:spacing w:after="0" w:line="240" w:lineRule="auto"/>
        <w:jc w:val="center"/>
        <w:rPr>
          <w:rFonts w:ascii="Times New Roman" w:hAnsi="Times New Roman" w:cs="Times New Roman"/>
          <w:sz w:val="24"/>
          <w:szCs w:val="24"/>
          <w:lang w:val="uk-UA"/>
        </w:rPr>
      </w:pPr>
      <w:r w:rsidRPr="00711D23">
        <w:rPr>
          <w:rFonts w:ascii="Times New Roman" w:hAnsi="Times New Roman" w:cs="Times New Roman"/>
          <w:sz w:val="24"/>
          <w:szCs w:val="24"/>
          <w:lang w:val="uk-UA"/>
        </w:rPr>
        <w:t>(_____</w:t>
      </w:r>
      <w:r w:rsidRPr="00711D23">
        <w:rPr>
          <w:rFonts w:ascii="Times New Roman" w:hAnsi="Times New Roman" w:cs="Times New Roman"/>
          <w:sz w:val="24"/>
          <w:szCs w:val="24"/>
          <w:u w:val="single"/>
          <w:lang w:val="uk-UA"/>
        </w:rPr>
        <w:t>16565000000</w:t>
      </w:r>
      <w:r w:rsidRPr="00711D23">
        <w:rPr>
          <w:rFonts w:ascii="Times New Roman" w:hAnsi="Times New Roman" w:cs="Times New Roman"/>
          <w:sz w:val="24"/>
          <w:szCs w:val="24"/>
          <w:lang w:val="uk-UA"/>
        </w:rPr>
        <w:t>_______)</w:t>
      </w:r>
    </w:p>
    <w:p w:rsidR="00711D23" w:rsidRDefault="00711D23" w:rsidP="00711D23">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r w:rsidRPr="00711D23">
        <w:rPr>
          <w:rFonts w:ascii="Times New Roman" w:hAnsi="Times New Roman" w:cs="Times New Roman"/>
          <w:sz w:val="24"/>
          <w:szCs w:val="24"/>
          <w:lang w:val="uk-UA"/>
        </w:rPr>
        <w:t>код бюджету)</w:t>
      </w:r>
    </w:p>
    <w:p w:rsidR="00711D23" w:rsidRDefault="00711D23" w:rsidP="00711D23">
      <w:pPr>
        <w:spacing w:after="0" w:line="240" w:lineRule="auto"/>
        <w:jc w:val="center"/>
        <w:rPr>
          <w:rFonts w:ascii="Times New Roman" w:hAnsi="Times New Roman" w:cs="Times New Roman"/>
          <w:sz w:val="24"/>
          <w:szCs w:val="24"/>
          <w:lang w:val="uk-UA"/>
        </w:rPr>
      </w:pPr>
    </w:p>
    <w:p w:rsidR="00711D23" w:rsidRPr="00711D23" w:rsidRDefault="00711D23" w:rsidP="00711D23">
      <w:pPr>
        <w:spacing w:after="0" w:line="240" w:lineRule="auto"/>
        <w:jc w:val="center"/>
        <w:rPr>
          <w:rFonts w:ascii="Times New Roman" w:hAnsi="Times New Roman" w:cs="Times New Roman"/>
          <w:b/>
          <w:sz w:val="28"/>
          <w:szCs w:val="28"/>
          <w:lang w:val="uk-UA"/>
        </w:rPr>
      </w:pPr>
      <w:r w:rsidRPr="00711D23">
        <w:rPr>
          <w:rFonts w:ascii="Times New Roman" w:hAnsi="Times New Roman" w:cs="Times New Roman"/>
          <w:b/>
          <w:sz w:val="28"/>
          <w:szCs w:val="28"/>
          <w:lang w:val="uk-UA"/>
        </w:rPr>
        <w:t>І. Загальна частина</w:t>
      </w:r>
    </w:p>
    <w:p w:rsidR="00711D23" w:rsidRDefault="00711D23" w:rsidP="00711D23">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D26AC" w:rsidRDefault="00550010" w:rsidP="00F331B7">
      <w:pPr>
        <w:spacing w:after="0" w:line="360" w:lineRule="auto"/>
        <w:ind w:firstLine="454"/>
        <w:jc w:val="both"/>
        <w:rPr>
          <w:rFonts w:ascii="Times New Roman" w:hAnsi="Times New Roman" w:cs="Times New Roman"/>
          <w:sz w:val="28"/>
          <w:szCs w:val="28"/>
          <w:shd w:val="clear" w:color="auto" w:fill="FFFFFF"/>
          <w:lang w:val="uk-UA"/>
        </w:rPr>
      </w:pPr>
      <w:r w:rsidRPr="00BD26AC">
        <w:rPr>
          <w:rFonts w:ascii="Times New Roman" w:hAnsi="Times New Roman" w:cs="Times New Roman"/>
          <w:bCs/>
          <w:sz w:val="28"/>
          <w:szCs w:val="28"/>
          <w:lang w:val="uk-UA"/>
        </w:rPr>
        <w:t xml:space="preserve">Прогноз бюджету Лубенської міської територіальної громади на </w:t>
      </w:r>
      <w:r w:rsidR="009B506B">
        <w:rPr>
          <w:rFonts w:ascii="Times New Roman" w:hAnsi="Times New Roman" w:cs="Times New Roman"/>
          <w:bCs/>
          <w:sz w:val="28"/>
          <w:szCs w:val="28"/>
          <w:lang w:val="uk-UA"/>
        </w:rPr>
        <w:t xml:space="preserve">        </w:t>
      </w:r>
      <w:r w:rsidRPr="00BD26AC">
        <w:rPr>
          <w:rFonts w:ascii="Times New Roman" w:hAnsi="Times New Roman" w:cs="Times New Roman"/>
          <w:bCs/>
          <w:sz w:val="28"/>
          <w:szCs w:val="28"/>
          <w:lang w:val="uk-UA"/>
        </w:rPr>
        <w:t xml:space="preserve">2022-2024 роки  </w:t>
      </w:r>
      <w:r w:rsidR="00C54ACE">
        <w:rPr>
          <w:rFonts w:ascii="Times New Roman" w:hAnsi="Times New Roman" w:cs="Times New Roman"/>
          <w:bCs/>
          <w:sz w:val="28"/>
          <w:szCs w:val="28"/>
          <w:lang w:val="uk-UA"/>
        </w:rPr>
        <w:t xml:space="preserve">(далі – Прогноз) </w:t>
      </w:r>
      <w:r w:rsidR="00BD26AC" w:rsidRPr="00BD26AC">
        <w:rPr>
          <w:rFonts w:ascii="Times New Roman" w:hAnsi="Times New Roman" w:cs="Times New Roman"/>
          <w:bCs/>
          <w:sz w:val="28"/>
          <w:szCs w:val="28"/>
          <w:lang w:val="uk-UA"/>
        </w:rPr>
        <w:t xml:space="preserve">розроблено на основі положень </w:t>
      </w:r>
      <w:r w:rsidRPr="00BD26AC">
        <w:rPr>
          <w:rFonts w:ascii="Times New Roman" w:hAnsi="Times New Roman" w:cs="Times New Roman"/>
          <w:spacing w:val="2"/>
          <w:sz w:val="28"/>
          <w:szCs w:val="28"/>
          <w:lang w:val="uk-UA"/>
        </w:rPr>
        <w:t xml:space="preserve">Бюджетного та Податкового кодексів України, </w:t>
      </w:r>
      <w:r w:rsidR="00BD26AC" w:rsidRPr="00BD26AC">
        <w:rPr>
          <w:rFonts w:ascii="Times New Roman" w:hAnsi="Times New Roman" w:cs="Times New Roman"/>
          <w:spacing w:val="2"/>
          <w:sz w:val="28"/>
          <w:szCs w:val="28"/>
          <w:lang w:val="uk-UA"/>
        </w:rPr>
        <w:t xml:space="preserve">Бюджетної декларації на 2022-2024 роки, схваленої постановою </w:t>
      </w:r>
      <w:r w:rsidR="00BD26AC" w:rsidRPr="00BD26AC">
        <w:rPr>
          <w:rFonts w:ascii="Times New Roman" w:hAnsi="Times New Roman" w:cs="Times New Roman"/>
          <w:sz w:val="28"/>
          <w:szCs w:val="28"/>
          <w:shd w:val="clear" w:color="auto" w:fill="FFFFFF"/>
          <w:lang w:val="uk-UA"/>
        </w:rPr>
        <w:t xml:space="preserve">Кабінету Міністрів України від </w:t>
      </w:r>
      <w:r w:rsidR="009B506B">
        <w:rPr>
          <w:rFonts w:ascii="Times New Roman" w:hAnsi="Times New Roman" w:cs="Times New Roman"/>
          <w:sz w:val="28"/>
          <w:szCs w:val="28"/>
          <w:shd w:val="clear" w:color="auto" w:fill="FFFFFF"/>
          <w:lang w:val="uk-UA"/>
        </w:rPr>
        <w:t xml:space="preserve">       </w:t>
      </w:r>
      <w:r w:rsidR="00BD26AC" w:rsidRPr="00BD26AC">
        <w:rPr>
          <w:rFonts w:ascii="Times New Roman" w:hAnsi="Times New Roman" w:cs="Times New Roman"/>
          <w:sz w:val="28"/>
          <w:szCs w:val="28"/>
          <w:shd w:val="clear" w:color="auto" w:fill="FFFFFF"/>
          <w:lang w:val="uk-UA"/>
        </w:rPr>
        <w:t>31 травня 2021 року</w:t>
      </w:r>
      <w:r w:rsidR="00BD26AC" w:rsidRPr="00BD26AC">
        <w:rPr>
          <w:rFonts w:ascii="Times New Roman" w:hAnsi="Times New Roman" w:cs="Times New Roman"/>
          <w:sz w:val="28"/>
          <w:szCs w:val="28"/>
          <w:shd w:val="clear" w:color="auto" w:fill="FFFFFF"/>
        </w:rPr>
        <w:t> </w:t>
      </w:r>
      <w:r w:rsidR="00BD26AC">
        <w:rPr>
          <w:rFonts w:ascii="Times New Roman" w:hAnsi="Times New Roman" w:cs="Times New Roman"/>
          <w:sz w:val="28"/>
          <w:szCs w:val="28"/>
          <w:shd w:val="clear" w:color="auto" w:fill="FFFFFF"/>
          <w:lang w:val="uk-UA"/>
        </w:rPr>
        <w:t>№</w:t>
      </w:r>
      <w:r w:rsidR="00BD26AC">
        <w:rPr>
          <w:rFonts w:ascii="Times New Roman" w:hAnsi="Times New Roman" w:cs="Times New Roman"/>
          <w:sz w:val="28"/>
          <w:szCs w:val="28"/>
          <w:lang w:val="uk-UA"/>
        </w:rPr>
        <w:t xml:space="preserve"> 548 «</w:t>
      </w:r>
      <w:r w:rsidR="00BD26AC" w:rsidRPr="00BD26AC">
        <w:rPr>
          <w:rFonts w:ascii="Times New Roman" w:hAnsi="Times New Roman" w:cs="Times New Roman"/>
          <w:sz w:val="28"/>
          <w:szCs w:val="28"/>
          <w:shd w:val="clear" w:color="auto" w:fill="FFFFFF"/>
          <w:lang w:val="uk-UA"/>
        </w:rPr>
        <w:t xml:space="preserve">Про схвалення Бюджетної декларації на </w:t>
      </w:r>
      <w:r w:rsidR="009B506B">
        <w:rPr>
          <w:rFonts w:ascii="Times New Roman" w:hAnsi="Times New Roman" w:cs="Times New Roman"/>
          <w:sz w:val="28"/>
          <w:szCs w:val="28"/>
          <w:shd w:val="clear" w:color="auto" w:fill="FFFFFF"/>
          <w:lang w:val="uk-UA"/>
        </w:rPr>
        <w:t xml:space="preserve">      </w:t>
      </w:r>
      <w:r w:rsidR="00BD26AC" w:rsidRPr="00BD26AC">
        <w:rPr>
          <w:rFonts w:ascii="Times New Roman" w:hAnsi="Times New Roman" w:cs="Times New Roman"/>
          <w:sz w:val="28"/>
          <w:szCs w:val="28"/>
          <w:shd w:val="clear" w:color="auto" w:fill="FFFFFF"/>
          <w:lang w:val="uk-UA"/>
        </w:rPr>
        <w:t>2022-2024 роки</w:t>
      </w:r>
      <w:r w:rsidR="00BD26AC" w:rsidRPr="007B66C0">
        <w:rPr>
          <w:rFonts w:ascii="Times New Roman" w:hAnsi="Times New Roman" w:cs="Times New Roman"/>
          <w:sz w:val="28"/>
          <w:szCs w:val="28"/>
          <w:shd w:val="clear" w:color="auto" w:fill="FFFFFF"/>
          <w:lang w:val="uk-UA"/>
        </w:rPr>
        <w:t>",</w:t>
      </w:r>
      <w:r w:rsidR="003C2AA7">
        <w:rPr>
          <w:rFonts w:ascii="Times New Roman" w:hAnsi="Times New Roman" w:cs="Times New Roman"/>
          <w:sz w:val="28"/>
          <w:szCs w:val="28"/>
          <w:shd w:val="clear" w:color="auto" w:fill="FFFFFF"/>
          <w:lang w:val="uk-UA"/>
        </w:rPr>
        <w:t xml:space="preserve"> розподілу міжбюджетних трансфертів між місцевими бюджетами на  2022-2024 роки, врахованих у граничних показниках видатків та надання кредитів державного бюджету до Бюджетної декларації, доведеного листом Мінфіну від 09.06.2021 р. № 05110-14-6/18181, </w:t>
      </w:r>
      <w:r w:rsidR="007B66C0" w:rsidRPr="007B66C0">
        <w:rPr>
          <w:rFonts w:ascii="Times New Roman" w:hAnsi="Times New Roman" w:cs="Times New Roman"/>
          <w:sz w:val="28"/>
          <w:szCs w:val="28"/>
          <w:lang w:val="uk-UA"/>
        </w:rPr>
        <w:t>Плану заходів з реалізації Стратегії розвитку Полтавської області на 2021-2023 роки (затвердженому рішенням облас</w:t>
      </w:r>
      <w:r w:rsidR="000518A1">
        <w:rPr>
          <w:rFonts w:ascii="Times New Roman" w:hAnsi="Times New Roman" w:cs="Times New Roman"/>
          <w:sz w:val="28"/>
          <w:szCs w:val="28"/>
          <w:lang w:val="uk-UA"/>
        </w:rPr>
        <w:t>ної ради від 12.03.2020 № 1327),</w:t>
      </w:r>
      <w:r w:rsidR="007B66C0" w:rsidRPr="007B66C0">
        <w:rPr>
          <w:rFonts w:ascii="Times New Roman" w:hAnsi="Times New Roman" w:cs="Times New Roman"/>
          <w:sz w:val="28"/>
          <w:szCs w:val="28"/>
          <w:lang w:val="uk-UA"/>
        </w:rPr>
        <w:t xml:space="preserve"> Стратегії розвитку м. Лубни на 2017-2025 роки (затвердженої рішенням дев’ятнадцятої сесії Лубенської міської ради сьомого скликання від 18.05.2017 року)</w:t>
      </w:r>
      <w:r w:rsidR="000518A1">
        <w:rPr>
          <w:rFonts w:ascii="Times New Roman" w:hAnsi="Times New Roman" w:cs="Times New Roman"/>
          <w:sz w:val="28"/>
          <w:szCs w:val="28"/>
          <w:lang w:val="uk-UA"/>
        </w:rPr>
        <w:t xml:space="preserve"> та місцевих галузевих програм,</w:t>
      </w:r>
      <w:r w:rsidR="007B66C0" w:rsidRPr="007B66C0">
        <w:rPr>
          <w:rFonts w:ascii="Times New Roman" w:hAnsi="Times New Roman" w:cs="Times New Roman"/>
          <w:sz w:val="28"/>
          <w:szCs w:val="28"/>
          <w:lang w:val="uk-UA"/>
        </w:rPr>
        <w:t xml:space="preserve"> </w:t>
      </w:r>
      <w:r w:rsidR="00BD26AC" w:rsidRPr="007B66C0">
        <w:rPr>
          <w:rFonts w:ascii="Times New Roman" w:hAnsi="Times New Roman" w:cs="Times New Roman"/>
          <w:sz w:val="28"/>
          <w:szCs w:val="28"/>
          <w:shd w:val="clear" w:color="auto" w:fill="FFFFFF"/>
          <w:lang w:val="uk-UA"/>
        </w:rPr>
        <w:t>як</w:t>
      </w:r>
      <w:r w:rsidR="000518A1">
        <w:rPr>
          <w:rFonts w:ascii="Times New Roman" w:hAnsi="Times New Roman" w:cs="Times New Roman"/>
          <w:sz w:val="28"/>
          <w:szCs w:val="28"/>
          <w:shd w:val="clear" w:color="auto" w:fill="FFFFFF"/>
          <w:lang w:val="uk-UA"/>
        </w:rPr>
        <w:t xml:space="preserve">ими </w:t>
      </w:r>
      <w:r w:rsidR="00BD26AC" w:rsidRPr="007B66C0">
        <w:rPr>
          <w:rFonts w:ascii="Times New Roman" w:hAnsi="Times New Roman" w:cs="Times New Roman"/>
          <w:sz w:val="28"/>
          <w:szCs w:val="28"/>
          <w:shd w:val="clear" w:color="auto" w:fill="FFFFFF"/>
          <w:lang w:val="uk-UA"/>
        </w:rPr>
        <w:t xml:space="preserve"> визначено напрями розвитку громади, що сприятимуть</w:t>
      </w:r>
      <w:r w:rsidR="00BD26AC">
        <w:rPr>
          <w:rFonts w:ascii="Times New Roman" w:hAnsi="Times New Roman" w:cs="Times New Roman"/>
          <w:sz w:val="28"/>
          <w:szCs w:val="28"/>
          <w:shd w:val="clear" w:color="auto" w:fill="FFFFFF"/>
          <w:lang w:val="uk-UA"/>
        </w:rPr>
        <w:t xml:space="preserve"> покращенню добробуту населення, підвищення комфорту та якості життя, освіченості мешканців, розвитку економіки Лубенської громади, підвищенню її конкурентноспроможності та створенню нових робочих місць, а також створення позитивного іміджу регіону та максимально ефективного використання його ресурсів і можливостей.</w:t>
      </w:r>
    </w:p>
    <w:p w:rsidR="00BD26AC" w:rsidRPr="000518A1" w:rsidRDefault="00BD26AC" w:rsidP="00F331B7">
      <w:pPr>
        <w:spacing w:after="0" w:line="360" w:lineRule="auto"/>
        <w:ind w:firstLine="45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lastRenderedPageBreak/>
        <w:t>Метою середньострокового бюджетного прогнозування є встановлення взаємоз</w:t>
      </w:r>
      <w:r w:rsidR="00C54ACE">
        <w:rPr>
          <w:rFonts w:ascii="Times New Roman" w:hAnsi="Times New Roman" w:cs="Times New Roman"/>
          <w:sz w:val="28"/>
          <w:szCs w:val="28"/>
          <w:shd w:val="clear" w:color="auto" w:fill="FFFFFF"/>
          <w:lang w:val="uk-UA"/>
        </w:rPr>
        <w:t>в</w:t>
      </w:r>
      <w:r>
        <w:rPr>
          <w:rFonts w:ascii="Times New Roman" w:hAnsi="Times New Roman" w:cs="Times New Roman"/>
          <w:sz w:val="28"/>
          <w:szCs w:val="28"/>
          <w:shd w:val="clear" w:color="auto" w:fill="FFFFFF"/>
          <w:lang w:val="uk-UA"/>
        </w:rPr>
        <w:t>’язку між стратегічними цілями розвитку Лубенської територіальної громади та можливостями бю</w:t>
      </w:r>
      <w:r w:rsidR="00C54ACE">
        <w:rPr>
          <w:rFonts w:ascii="Times New Roman" w:hAnsi="Times New Roman" w:cs="Times New Roman"/>
          <w:sz w:val="28"/>
          <w:szCs w:val="28"/>
          <w:shd w:val="clear" w:color="auto" w:fill="FFFFFF"/>
          <w:lang w:val="uk-UA"/>
        </w:rPr>
        <w:t>д</w:t>
      </w:r>
      <w:r>
        <w:rPr>
          <w:rFonts w:ascii="Times New Roman" w:hAnsi="Times New Roman" w:cs="Times New Roman"/>
          <w:sz w:val="28"/>
          <w:szCs w:val="28"/>
          <w:shd w:val="clear" w:color="auto" w:fill="FFFFFF"/>
          <w:lang w:val="uk-UA"/>
        </w:rPr>
        <w:t>жету у середньостроковій пер</w:t>
      </w:r>
      <w:r w:rsidR="000518A1">
        <w:rPr>
          <w:rFonts w:ascii="Times New Roman" w:hAnsi="Times New Roman" w:cs="Times New Roman"/>
          <w:sz w:val="28"/>
          <w:szCs w:val="28"/>
          <w:shd w:val="clear" w:color="auto" w:fill="FFFFFF"/>
          <w:lang w:val="uk-UA"/>
        </w:rPr>
        <w:t xml:space="preserve">спективі, </w:t>
      </w:r>
      <w:r w:rsidR="000518A1" w:rsidRPr="000518A1">
        <w:rPr>
          <w:rFonts w:ascii="Times New Roman" w:hAnsi="Times New Roman" w:cs="Times New Roman"/>
          <w:sz w:val="28"/>
          <w:szCs w:val="28"/>
          <w:lang w:val="uk-UA"/>
        </w:rPr>
        <w:t>підвищення прозорості бюджетного процесу</w:t>
      </w:r>
      <w:r w:rsidR="000518A1">
        <w:rPr>
          <w:rFonts w:ascii="Times New Roman" w:hAnsi="Times New Roman" w:cs="Times New Roman"/>
          <w:sz w:val="28"/>
          <w:szCs w:val="28"/>
          <w:lang w:val="uk-UA"/>
        </w:rPr>
        <w:t>,</w:t>
      </w:r>
      <w:r w:rsidR="000518A1" w:rsidRPr="000518A1">
        <w:rPr>
          <w:rFonts w:ascii="Times New Roman" w:hAnsi="Times New Roman" w:cs="Times New Roman"/>
          <w:sz w:val="28"/>
          <w:szCs w:val="28"/>
          <w:lang w:val="uk-UA"/>
        </w:rPr>
        <w:t xml:space="preserve"> посилення бюджетної дисципліни та контролю за використанням бюджетних коштів</w:t>
      </w:r>
      <w:r w:rsidR="000518A1">
        <w:rPr>
          <w:rFonts w:ascii="Times New Roman" w:hAnsi="Times New Roman" w:cs="Times New Roman"/>
          <w:sz w:val="28"/>
          <w:szCs w:val="28"/>
          <w:lang w:val="uk-UA"/>
        </w:rPr>
        <w:t>,</w:t>
      </w:r>
      <w:r w:rsidR="000518A1" w:rsidRPr="000518A1">
        <w:rPr>
          <w:rFonts w:ascii="Times New Roman" w:hAnsi="Times New Roman" w:cs="Times New Roman"/>
          <w:sz w:val="28"/>
          <w:szCs w:val="28"/>
          <w:lang w:val="uk-UA"/>
        </w:rPr>
        <w:t xml:space="preserve"> підвищення рівня відповідальності учасників бюджетного процесу</w:t>
      </w:r>
      <w:r w:rsidR="000518A1">
        <w:rPr>
          <w:rFonts w:ascii="Times New Roman" w:hAnsi="Times New Roman" w:cs="Times New Roman"/>
          <w:sz w:val="28"/>
          <w:szCs w:val="28"/>
          <w:lang w:val="uk-UA"/>
        </w:rPr>
        <w:t>.</w:t>
      </w:r>
    </w:p>
    <w:p w:rsidR="00BD26AC" w:rsidRDefault="00BD26AC" w:rsidP="00F331B7">
      <w:pPr>
        <w:spacing w:after="0" w:line="360" w:lineRule="auto"/>
        <w:ind w:firstLine="45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Основними завданнями Прогнозу є підвищення результативності та ефективності бюджетних видатків, здійснення подальших кроків</w:t>
      </w:r>
      <w:r w:rsidR="00585F04">
        <w:rPr>
          <w:rFonts w:ascii="Times New Roman" w:hAnsi="Times New Roman" w:cs="Times New Roman"/>
          <w:sz w:val="28"/>
          <w:szCs w:val="28"/>
          <w:shd w:val="clear" w:color="auto" w:fill="FFFFFF"/>
          <w:lang w:val="uk-UA"/>
        </w:rPr>
        <w:t xml:space="preserve"> в напрямі динамічного росту доходів за рахунок позитивних зрушень в економіці</w:t>
      </w:r>
      <w:r w:rsidR="000518A1">
        <w:rPr>
          <w:rFonts w:ascii="Times New Roman" w:hAnsi="Times New Roman" w:cs="Times New Roman"/>
          <w:sz w:val="28"/>
          <w:szCs w:val="28"/>
          <w:shd w:val="clear" w:color="auto" w:fill="FFFFFF"/>
          <w:lang w:val="uk-UA"/>
        </w:rPr>
        <w:t xml:space="preserve"> громади</w:t>
      </w:r>
      <w:r w:rsidR="00585F04">
        <w:rPr>
          <w:rFonts w:ascii="Times New Roman" w:hAnsi="Times New Roman" w:cs="Times New Roman"/>
          <w:sz w:val="28"/>
          <w:szCs w:val="28"/>
          <w:shd w:val="clear" w:color="auto" w:fill="FFFFFF"/>
          <w:lang w:val="uk-UA"/>
        </w:rPr>
        <w:t>.</w:t>
      </w:r>
    </w:p>
    <w:p w:rsidR="00585F04" w:rsidRDefault="00585F04" w:rsidP="00F331B7">
      <w:pPr>
        <w:spacing w:after="0" w:line="360" w:lineRule="auto"/>
        <w:ind w:firstLine="45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Прогноз включає індикативні про</w:t>
      </w:r>
      <w:r w:rsidR="00C54ACE">
        <w:rPr>
          <w:rFonts w:ascii="Times New Roman" w:hAnsi="Times New Roman" w:cs="Times New Roman"/>
          <w:sz w:val="28"/>
          <w:szCs w:val="28"/>
          <w:shd w:val="clear" w:color="auto" w:fill="FFFFFF"/>
          <w:lang w:val="uk-UA"/>
        </w:rPr>
        <w:t>г</w:t>
      </w:r>
      <w:r>
        <w:rPr>
          <w:rFonts w:ascii="Times New Roman" w:hAnsi="Times New Roman" w:cs="Times New Roman"/>
          <w:sz w:val="28"/>
          <w:szCs w:val="28"/>
          <w:shd w:val="clear" w:color="auto" w:fill="FFFFFF"/>
          <w:lang w:val="uk-UA"/>
        </w:rPr>
        <w:t xml:space="preserve">нозні показники бюджету Лубенської </w:t>
      </w:r>
      <w:r w:rsidR="00C54ACE">
        <w:rPr>
          <w:rFonts w:ascii="Times New Roman" w:hAnsi="Times New Roman" w:cs="Times New Roman"/>
          <w:sz w:val="28"/>
          <w:szCs w:val="28"/>
          <w:shd w:val="clear" w:color="auto" w:fill="FFFFFF"/>
          <w:lang w:val="uk-UA"/>
        </w:rPr>
        <w:t xml:space="preserve">міської </w:t>
      </w:r>
      <w:r>
        <w:rPr>
          <w:rFonts w:ascii="Times New Roman" w:hAnsi="Times New Roman" w:cs="Times New Roman"/>
          <w:sz w:val="28"/>
          <w:szCs w:val="28"/>
          <w:shd w:val="clear" w:color="auto" w:fill="FFFFFF"/>
          <w:lang w:val="uk-UA"/>
        </w:rPr>
        <w:t>територіальної громади (далі бюджету громади) за основними видами доходів, видатків, кредитування, фінансування, місцевого боргу та місцевих гарантій, показників бюджету розвитку, інвестиційних про</w:t>
      </w:r>
      <w:r w:rsidR="00AB42E7">
        <w:rPr>
          <w:rFonts w:ascii="Times New Roman" w:hAnsi="Times New Roman" w:cs="Times New Roman"/>
          <w:sz w:val="28"/>
          <w:szCs w:val="28"/>
          <w:shd w:val="clear" w:color="auto" w:fill="FFFFFF"/>
          <w:lang w:val="uk-UA"/>
        </w:rPr>
        <w:t>є</w:t>
      </w:r>
      <w:r>
        <w:rPr>
          <w:rFonts w:ascii="Times New Roman" w:hAnsi="Times New Roman" w:cs="Times New Roman"/>
          <w:sz w:val="28"/>
          <w:szCs w:val="28"/>
          <w:shd w:val="clear" w:color="auto" w:fill="FFFFFF"/>
          <w:lang w:val="uk-UA"/>
        </w:rPr>
        <w:t>ктів, взаємовідносин бюджету громади з Державним та іншими місцевими бюджетами на середньострокову перспективу.</w:t>
      </w:r>
    </w:p>
    <w:p w:rsidR="00585F04" w:rsidRDefault="00585F04" w:rsidP="00F331B7">
      <w:pPr>
        <w:spacing w:after="0" w:line="360" w:lineRule="auto"/>
        <w:ind w:firstLine="45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Прогноз ґрунтується на принципі збалансованості бюджету, підвищує результативність та ефективність витрачання  бюджетних коштів, посилює бюджетну дисципліну, спрямовує фінансові ресурси на реалізацію пріоритетних соціальних напрямків та завдань для забезпечення ди</w:t>
      </w:r>
      <w:r w:rsidR="00F64151">
        <w:rPr>
          <w:rFonts w:ascii="Times New Roman" w:hAnsi="Times New Roman" w:cs="Times New Roman"/>
          <w:sz w:val="28"/>
          <w:szCs w:val="28"/>
          <w:shd w:val="clear" w:color="auto" w:fill="FFFFFF"/>
          <w:lang w:val="uk-UA"/>
        </w:rPr>
        <w:t>н</w:t>
      </w:r>
      <w:r>
        <w:rPr>
          <w:rFonts w:ascii="Times New Roman" w:hAnsi="Times New Roman" w:cs="Times New Roman"/>
          <w:sz w:val="28"/>
          <w:szCs w:val="28"/>
          <w:shd w:val="clear" w:color="auto" w:fill="FFFFFF"/>
          <w:lang w:val="uk-UA"/>
        </w:rPr>
        <w:t>а</w:t>
      </w:r>
      <w:r w:rsidR="00F64151">
        <w:rPr>
          <w:rFonts w:ascii="Times New Roman" w:hAnsi="Times New Roman" w:cs="Times New Roman"/>
          <w:sz w:val="28"/>
          <w:szCs w:val="28"/>
          <w:shd w:val="clear" w:color="auto" w:fill="FFFFFF"/>
          <w:lang w:val="uk-UA"/>
        </w:rPr>
        <w:t>м</w:t>
      </w:r>
      <w:r>
        <w:rPr>
          <w:rFonts w:ascii="Times New Roman" w:hAnsi="Times New Roman" w:cs="Times New Roman"/>
          <w:sz w:val="28"/>
          <w:szCs w:val="28"/>
          <w:shd w:val="clear" w:color="auto" w:fill="FFFFFF"/>
          <w:lang w:val="uk-UA"/>
        </w:rPr>
        <w:t>і</w:t>
      </w:r>
      <w:r w:rsidR="00F64151">
        <w:rPr>
          <w:rFonts w:ascii="Times New Roman" w:hAnsi="Times New Roman" w:cs="Times New Roman"/>
          <w:sz w:val="28"/>
          <w:szCs w:val="28"/>
          <w:shd w:val="clear" w:color="auto" w:fill="FFFFFF"/>
          <w:lang w:val="uk-UA"/>
        </w:rPr>
        <w:t>ч</w:t>
      </w:r>
      <w:r>
        <w:rPr>
          <w:rFonts w:ascii="Times New Roman" w:hAnsi="Times New Roman" w:cs="Times New Roman"/>
          <w:sz w:val="28"/>
          <w:szCs w:val="28"/>
          <w:shd w:val="clear" w:color="auto" w:fill="FFFFFF"/>
          <w:lang w:val="uk-UA"/>
        </w:rPr>
        <w:t>ного та збалансованого розвитку громади.</w:t>
      </w:r>
    </w:p>
    <w:p w:rsidR="000C0960" w:rsidRDefault="000C0960" w:rsidP="00F331B7">
      <w:pPr>
        <w:spacing w:after="0" w:line="360" w:lineRule="auto"/>
        <w:ind w:firstLine="454"/>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Слід зазначити, що не пізніше ніж через три робочих дні післ</w:t>
      </w:r>
      <w:r w:rsidR="005179FB">
        <w:rPr>
          <w:rFonts w:ascii="Times New Roman" w:hAnsi="Times New Roman" w:cs="Times New Roman"/>
          <w:sz w:val="28"/>
          <w:szCs w:val="28"/>
          <w:shd w:val="clear" w:color="auto" w:fill="FFFFFF"/>
          <w:lang w:val="uk-UA"/>
        </w:rPr>
        <w:t>я</w:t>
      </w:r>
      <w:r>
        <w:rPr>
          <w:rFonts w:ascii="Times New Roman" w:hAnsi="Times New Roman" w:cs="Times New Roman"/>
          <w:sz w:val="28"/>
          <w:szCs w:val="28"/>
          <w:shd w:val="clear" w:color="auto" w:fill="FFFFFF"/>
          <w:lang w:val="uk-UA"/>
        </w:rPr>
        <w:t xml:space="preserve"> подання місцевій раді про</w:t>
      </w:r>
      <w:r w:rsidR="00AB42E7">
        <w:rPr>
          <w:rFonts w:ascii="Times New Roman" w:hAnsi="Times New Roman" w:cs="Times New Roman"/>
          <w:sz w:val="28"/>
          <w:szCs w:val="28"/>
          <w:shd w:val="clear" w:color="auto" w:fill="FFFFFF"/>
          <w:lang w:val="uk-UA"/>
        </w:rPr>
        <w:t>є</w:t>
      </w:r>
      <w:r>
        <w:rPr>
          <w:rFonts w:ascii="Times New Roman" w:hAnsi="Times New Roman" w:cs="Times New Roman"/>
          <w:sz w:val="28"/>
          <w:szCs w:val="28"/>
          <w:shd w:val="clear" w:color="auto" w:fill="FFFFFF"/>
          <w:lang w:val="uk-UA"/>
        </w:rPr>
        <w:t>кту рішення про місцевий бюджет головні розпорядники коштів місцевого бюджету розміщують бюджетні запити на своїх офіційних сайтах або оприлюднюють їх в інший спосіб згідно з вимогами статті 28 Бюджетного кодексу України.</w:t>
      </w:r>
    </w:p>
    <w:p w:rsidR="00635578" w:rsidRPr="00635578" w:rsidRDefault="00635578" w:rsidP="00F331B7">
      <w:pPr>
        <w:spacing w:after="0" w:line="360" w:lineRule="auto"/>
        <w:ind w:firstLine="454"/>
        <w:jc w:val="both"/>
        <w:rPr>
          <w:rFonts w:ascii="Times New Roman" w:hAnsi="Times New Roman" w:cs="Times New Roman"/>
          <w:sz w:val="28"/>
          <w:szCs w:val="28"/>
          <w:shd w:val="clear" w:color="auto" w:fill="FFFFFF"/>
          <w:lang w:val="uk-UA"/>
        </w:rPr>
      </w:pPr>
      <w:r w:rsidRPr="00635578">
        <w:rPr>
          <w:rFonts w:ascii="Times New Roman" w:hAnsi="Times New Roman" w:cs="Times New Roman"/>
          <w:sz w:val="28"/>
          <w:szCs w:val="28"/>
          <w:lang w:val="uk-UA"/>
        </w:rPr>
        <w:t xml:space="preserve">Можливими ризиками невиконання прогнозних показників можуть бути зростання тарифів на оплату комунальних послуг та енергоносіїв на 5 % і більше у порівнянні з показниками, врахованими у Прогнозі, невиконання прогнозних показників доходів бюджету на 5 % і вище, підвищення рівня </w:t>
      </w:r>
      <w:r w:rsidRPr="00635578">
        <w:rPr>
          <w:rFonts w:ascii="Times New Roman" w:hAnsi="Times New Roman" w:cs="Times New Roman"/>
          <w:sz w:val="28"/>
          <w:szCs w:val="28"/>
          <w:lang w:val="uk-UA"/>
        </w:rPr>
        <w:lastRenderedPageBreak/>
        <w:t>інфляції. Заходами з мінімізації впливу фіскальних ризиків на показники бюджету є здійснення заходів з енергоощадження, покращення адміністрування податків і зборів, зниження частки тіньової економіки, залучення грантів (кредитів) Міжнародних фінансових організацій, підвищення інвестиційної привабливості громади.</w:t>
      </w:r>
    </w:p>
    <w:p w:rsidR="00B12B73" w:rsidRDefault="00B12B73" w:rsidP="00C645ED">
      <w:pPr>
        <w:spacing w:after="0" w:line="228" w:lineRule="auto"/>
        <w:ind w:firstLine="539"/>
        <w:jc w:val="center"/>
        <w:rPr>
          <w:rFonts w:ascii="Times New Roman" w:hAnsi="Times New Roman" w:cs="Times New Roman"/>
          <w:b/>
          <w:sz w:val="28"/>
          <w:szCs w:val="28"/>
          <w:lang w:val="uk-UA"/>
        </w:rPr>
      </w:pPr>
    </w:p>
    <w:p w:rsidR="00C645ED" w:rsidRDefault="00C645ED" w:rsidP="00C645ED">
      <w:pPr>
        <w:spacing w:after="0" w:line="228" w:lineRule="auto"/>
        <w:ind w:firstLine="539"/>
        <w:jc w:val="center"/>
        <w:rPr>
          <w:rFonts w:ascii="Times New Roman" w:hAnsi="Times New Roman" w:cs="Times New Roman"/>
          <w:b/>
          <w:sz w:val="28"/>
          <w:szCs w:val="28"/>
          <w:lang w:val="uk-UA"/>
        </w:rPr>
      </w:pPr>
      <w:r w:rsidRPr="00C645ED">
        <w:rPr>
          <w:rFonts w:ascii="Times New Roman" w:hAnsi="Times New Roman" w:cs="Times New Roman"/>
          <w:b/>
          <w:sz w:val="28"/>
          <w:szCs w:val="28"/>
          <w:lang w:val="uk-UA"/>
        </w:rPr>
        <w:t xml:space="preserve">ІІ. Основні прогнозні показники економічного </w:t>
      </w:r>
    </w:p>
    <w:p w:rsidR="00C645ED" w:rsidRDefault="00C645ED" w:rsidP="00C645ED">
      <w:pPr>
        <w:spacing w:after="0" w:line="228" w:lineRule="auto"/>
        <w:ind w:firstLine="539"/>
        <w:jc w:val="center"/>
        <w:rPr>
          <w:rFonts w:ascii="Times New Roman" w:hAnsi="Times New Roman" w:cs="Times New Roman"/>
          <w:b/>
          <w:sz w:val="28"/>
          <w:szCs w:val="28"/>
          <w:lang w:val="uk-UA"/>
        </w:rPr>
      </w:pPr>
      <w:r w:rsidRPr="00C645ED">
        <w:rPr>
          <w:rFonts w:ascii="Times New Roman" w:hAnsi="Times New Roman" w:cs="Times New Roman"/>
          <w:b/>
          <w:sz w:val="28"/>
          <w:szCs w:val="28"/>
          <w:lang w:val="uk-UA"/>
        </w:rPr>
        <w:t>та соціального розвитку</w:t>
      </w:r>
    </w:p>
    <w:p w:rsidR="00635578" w:rsidRDefault="00635578" w:rsidP="00C645ED">
      <w:pPr>
        <w:spacing w:after="0" w:line="228" w:lineRule="auto"/>
        <w:ind w:firstLine="539"/>
        <w:jc w:val="center"/>
        <w:rPr>
          <w:rFonts w:ascii="Times New Roman" w:hAnsi="Times New Roman" w:cs="Times New Roman"/>
          <w:b/>
          <w:sz w:val="28"/>
          <w:szCs w:val="28"/>
          <w:lang w:val="uk-UA"/>
        </w:rPr>
      </w:pPr>
    </w:p>
    <w:p w:rsidR="00D022EF" w:rsidRDefault="00D022EF" w:rsidP="00DC36A0">
      <w:pPr>
        <w:spacing w:after="0" w:line="312" w:lineRule="auto"/>
        <w:ind w:firstLine="720"/>
        <w:jc w:val="both"/>
        <w:rPr>
          <w:rFonts w:ascii="Times New Roman" w:hAnsi="Times New Roman" w:cs="Times New Roman"/>
          <w:sz w:val="28"/>
          <w:szCs w:val="28"/>
          <w:lang w:val="uk-UA"/>
        </w:rPr>
      </w:pPr>
      <w:r w:rsidRPr="00D022EF">
        <w:rPr>
          <w:rFonts w:ascii="Times New Roman" w:hAnsi="Times New Roman" w:cs="Times New Roman"/>
          <w:sz w:val="28"/>
          <w:szCs w:val="28"/>
          <w:lang w:val="uk-UA"/>
        </w:rPr>
        <w:t xml:space="preserve">Стратегічно важливим для розвитку економіки, наповнення місцевого бюджету, забезпечення зайнятості населення є діяльність промислових підприємств, зокрема харчової промисловості та машинобудування, якими забезпечується значний обсяг валової доданої вартості, яка створюється на території </w:t>
      </w:r>
      <w:r>
        <w:rPr>
          <w:rFonts w:ascii="Times New Roman" w:hAnsi="Times New Roman" w:cs="Times New Roman"/>
          <w:sz w:val="28"/>
          <w:szCs w:val="28"/>
          <w:lang w:val="uk-UA"/>
        </w:rPr>
        <w:t>Лубенсь</w:t>
      </w:r>
      <w:r w:rsidRPr="00D022EF">
        <w:rPr>
          <w:rFonts w:ascii="Times New Roman" w:hAnsi="Times New Roman" w:cs="Times New Roman"/>
          <w:sz w:val="28"/>
          <w:szCs w:val="28"/>
          <w:lang w:val="uk-UA"/>
        </w:rPr>
        <w:t xml:space="preserve">кої міської громади. </w:t>
      </w:r>
      <w:r w:rsidRPr="003C2AA7">
        <w:rPr>
          <w:rFonts w:ascii="Times New Roman" w:hAnsi="Times New Roman" w:cs="Times New Roman"/>
          <w:sz w:val="28"/>
          <w:szCs w:val="28"/>
          <w:lang w:val="uk-UA"/>
        </w:rPr>
        <w:t xml:space="preserve">В обліковому колі промислових підприємств  налічується понад 40 підприємств промисловості. Продукція підприємств промисловості є конкурентоспроможною і користується попитом на зовнішніх ринках. </w:t>
      </w:r>
      <w:r w:rsidRPr="00E44F01">
        <w:rPr>
          <w:rFonts w:ascii="Times New Roman" w:hAnsi="Times New Roman" w:cs="Times New Roman"/>
          <w:sz w:val="28"/>
          <w:szCs w:val="28"/>
          <w:lang w:val="uk-UA"/>
        </w:rPr>
        <w:t xml:space="preserve">Підприємства  мають постійні зовнішньоторговельні зв’язки з партнерами майже 100 країн світу. </w:t>
      </w:r>
      <w:r w:rsidRPr="00D022EF">
        <w:rPr>
          <w:rFonts w:ascii="Times New Roman" w:hAnsi="Times New Roman" w:cs="Times New Roman"/>
          <w:sz w:val="28"/>
          <w:szCs w:val="28"/>
        </w:rPr>
        <w:t xml:space="preserve">Протягом останніх </w:t>
      </w:r>
      <w:proofErr w:type="gramStart"/>
      <w:r w:rsidRPr="00D022EF">
        <w:rPr>
          <w:rFonts w:ascii="Times New Roman" w:hAnsi="Times New Roman" w:cs="Times New Roman"/>
          <w:sz w:val="28"/>
          <w:szCs w:val="28"/>
        </w:rPr>
        <w:t>років  є</w:t>
      </w:r>
      <w:proofErr w:type="gramEnd"/>
      <w:r w:rsidRPr="00D022EF">
        <w:rPr>
          <w:rFonts w:ascii="Times New Roman" w:hAnsi="Times New Roman" w:cs="Times New Roman"/>
          <w:sz w:val="28"/>
          <w:szCs w:val="28"/>
        </w:rPr>
        <w:t xml:space="preserve"> в основному стабільна ситуація із виробництв</w:t>
      </w:r>
      <w:r w:rsidR="009B506B">
        <w:rPr>
          <w:rFonts w:ascii="Times New Roman" w:hAnsi="Times New Roman" w:cs="Times New Roman"/>
          <w:sz w:val="28"/>
          <w:szCs w:val="28"/>
          <w:lang w:val="uk-UA"/>
        </w:rPr>
        <w:t>а</w:t>
      </w:r>
      <w:r w:rsidRPr="00D022EF">
        <w:rPr>
          <w:rFonts w:ascii="Times New Roman" w:hAnsi="Times New Roman" w:cs="Times New Roman"/>
          <w:sz w:val="28"/>
          <w:szCs w:val="28"/>
        </w:rPr>
        <w:t xml:space="preserve"> і реалізаці</w:t>
      </w:r>
      <w:r w:rsidR="009B506B">
        <w:rPr>
          <w:rFonts w:ascii="Times New Roman" w:hAnsi="Times New Roman" w:cs="Times New Roman"/>
          <w:sz w:val="28"/>
          <w:szCs w:val="28"/>
          <w:lang w:val="uk-UA"/>
        </w:rPr>
        <w:t>ї</w:t>
      </w:r>
      <w:r w:rsidRPr="00D022EF">
        <w:rPr>
          <w:rFonts w:ascii="Times New Roman" w:hAnsi="Times New Roman" w:cs="Times New Roman"/>
          <w:sz w:val="28"/>
          <w:szCs w:val="28"/>
        </w:rPr>
        <w:t xml:space="preserve"> промислової продукції. </w:t>
      </w:r>
    </w:p>
    <w:p w:rsidR="00E3428A" w:rsidRPr="00E3428A" w:rsidRDefault="00E3428A" w:rsidP="00DC36A0">
      <w:pPr>
        <w:spacing w:after="0" w:line="312" w:lineRule="auto"/>
        <w:ind w:firstLine="720"/>
        <w:jc w:val="both"/>
        <w:rPr>
          <w:rFonts w:ascii="Times New Roman" w:hAnsi="Times New Roman" w:cs="Times New Roman"/>
          <w:sz w:val="28"/>
          <w:szCs w:val="28"/>
        </w:rPr>
      </w:pPr>
      <w:r w:rsidRPr="00D022EF">
        <w:rPr>
          <w:rFonts w:ascii="Times New Roman" w:hAnsi="Times New Roman" w:cs="Times New Roman"/>
          <w:sz w:val="28"/>
          <w:szCs w:val="28"/>
          <w:lang w:val="uk-UA"/>
        </w:rPr>
        <w:t>Офіційна статистична інформація</w:t>
      </w:r>
      <w:r w:rsidRPr="00E3428A">
        <w:rPr>
          <w:rFonts w:ascii="Times New Roman" w:hAnsi="Times New Roman" w:cs="Times New Roman"/>
          <w:sz w:val="28"/>
          <w:szCs w:val="28"/>
          <w:lang w:val="uk-UA"/>
        </w:rPr>
        <w:t xml:space="preserve"> про обсяги реалізації промислової продукції у м. Лубни за І півріччя 2021 року відсутня, але відділом економічного розвитку і торгівлі виконавчого комітету здійснюється щомісячний моніторинг роботи основних промислових підприємств з визначенням темпів зростання (спаду) обсягів реалізації. У промисловості міста Лубн</w:t>
      </w:r>
      <w:r w:rsidR="009B506B">
        <w:rPr>
          <w:rFonts w:ascii="Times New Roman" w:hAnsi="Times New Roman" w:cs="Times New Roman"/>
          <w:sz w:val="28"/>
          <w:szCs w:val="28"/>
          <w:lang w:val="uk-UA"/>
        </w:rPr>
        <w:t>и</w:t>
      </w:r>
      <w:r w:rsidRPr="00E3428A">
        <w:rPr>
          <w:rFonts w:ascii="Times New Roman" w:hAnsi="Times New Roman" w:cs="Times New Roman"/>
          <w:sz w:val="28"/>
          <w:szCs w:val="28"/>
          <w:lang w:val="uk-UA"/>
        </w:rPr>
        <w:t xml:space="preserve"> згідно з моніторинговими даними за результатами І півріччя 2021 року обсяги реалізації промислової продукції (робіт, послуг) у відпускних цінах склали 1467,9 млн. грн., що на 338,9 млн. грн. більше, ніж у відповідному періоді минулого року. </w:t>
      </w:r>
      <w:r w:rsidRPr="00E3428A">
        <w:rPr>
          <w:rFonts w:ascii="Times New Roman" w:hAnsi="Times New Roman" w:cs="Times New Roman"/>
          <w:sz w:val="28"/>
          <w:szCs w:val="28"/>
        </w:rPr>
        <w:t xml:space="preserve">За розрахунковими даними, темп росту у порівнянні з </w:t>
      </w:r>
      <w:r w:rsidRPr="00E3428A">
        <w:rPr>
          <w:rFonts w:ascii="Times New Roman" w:hAnsi="Times New Roman" w:cs="Times New Roman"/>
          <w:sz w:val="28"/>
          <w:szCs w:val="28"/>
          <w:lang w:val="uk-UA"/>
        </w:rPr>
        <w:t>відповідним періодом минулого року</w:t>
      </w:r>
      <w:r w:rsidRPr="00E3428A">
        <w:rPr>
          <w:rFonts w:ascii="Times New Roman" w:hAnsi="Times New Roman" w:cs="Times New Roman"/>
          <w:sz w:val="28"/>
          <w:szCs w:val="28"/>
        </w:rPr>
        <w:t xml:space="preserve"> склав 130,0 %. </w:t>
      </w:r>
    </w:p>
    <w:p w:rsidR="00E3428A" w:rsidRPr="00E3428A" w:rsidRDefault="00E3428A" w:rsidP="00DC36A0">
      <w:pPr>
        <w:spacing w:after="0" w:line="312" w:lineRule="auto"/>
        <w:ind w:firstLine="720"/>
        <w:jc w:val="both"/>
        <w:rPr>
          <w:rFonts w:ascii="Times New Roman" w:hAnsi="Times New Roman" w:cs="Times New Roman"/>
          <w:sz w:val="28"/>
          <w:szCs w:val="28"/>
        </w:rPr>
      </w:pPr>
      <w:r w:rsidRPr="00E3428A">
        <w:rPr>
          <w:rFonts w:ascii="Times New Roman" w:hAnsi="Times New Roman" w:cs="Times New Roman"/>
          <w:sz w:val="28"/>
          <w:szCs w:val="28"/>
        </w:rPr>
        <w:t xml:space="preserve">Згідно з моніторинговими даними, у більшості основних галузей промисловості </w:t>
      </w:r>
      <w:proofErr w:type="gramStart"/>
      <w:r w:rsidR="00635578">
        <w:rPr>
          <w:rFonts w:ascii="Times New Roman" w:hAnsi="Times New Roman" w:cs="Times New Roman"/>
          <w:sz w:val="28"/>
          <w:szCs w:val="28"/>
          <w:lang w:val="uk-UA"/>
        </w:rPr>
        <w:t xml:space="preserve">громади </w:t>
      </w:r>
      <w:r w:rsidRPr="00E3428A">
        <w:rPr>
          <w:rFonts w:ascii="Times New Roman" w:hAnsi="Times New Roman" w:cs="Times New Roman"/>
          <w:sz w:val="28"/>
          <w:szCs w:val="28"/>
        </w:rPr>
        <w:t xml:space="preserve"> відбулося</w:t>
      </w:r>
      <w:proofErr w:type="gramEnd"/>
      <w:r w:rsidRPr="00E3428A">
        <w:rPr>
          <w:rFonts w:ascii="Times New Roman" w:hAnsi="Times New Roman" w:cs="Times New Roman"/>
          <w:sz w:val="28"/>
          <w:szCs w:val="28"/>
        </w:rPr>
        <w:t xml:space="preserve"> зростання обсягів реалізації промислової продукції у відпускних цінах.</w:t>
      </w:r>
    </w:p>
    <w:p w:rsidR="00E3428A" w:rsidRPr="00E3428A" w:rsidRDefault="00E3428A" w:rsidP="00DC36A0">
      <w:pPr>
        <w:spacing w:after="0" w:line="312" w:lineRule="auto"/>
        <w:ind w:firstLine="720"/>
        <w:jc w:val="both"/>
        <w:rPr>
          <w:rFonts w:ascii="Times New Roman" w:hAnsi="Times New Roman" w:cs="Times New Roman"/>
          <w:sz w:val="28"/>
          <w:szCs w:val="28"/>
        </w:rPr>
      </w:pPr>
      <w:r w:rsidRPr="00E3428A">
        <w:rPr>
          <w:rFonts w:ascii="Times New Roman" w:hAnsi="Times New Roman" w:cs="Times New Roman"/>
          <w:sz w:val="28"/>
          <w:szCs w:val="28"/>
        </w:rPr>
        <w:t xml:space="preserve">На </w:t>
      </w:r>
      <w:r w:rsidRPr="00E3428A">
        <w:rPr>
          <w:rFonts w:ascii="Times New Roman" w:hAnsi="Times New Roman" w:cs="Times New Roman"/>
          <w:sz w:val="28"/>
          <w:szCs w:val="28"/>
          <w:lang w:val="uk-UA"/>
        </w:rPr>
        <w:t>87,0</w:t>
      </w:r>
      <w:r w:rsidRPr="00E3428A">
        <w:rPr>
          <w:rFonts w:ascii="Times New Roman" w:hAnsi="Times New Roman" w:cs="Times New Roman"/>
          <w:sz w:val="28"/>
          <w:szCs w:val="28"/>
        </w:rPr>
        <w:t xml:space="preserve"> % </w:t>
      </w:r>
      <w:proofErr w:type="gramStart"/>
      <w:r w:rsidRPr="00E3428A">
        <w:rPr>
          <w:rFonts w:ascii="Times New Roman" w:hAnsi="Times New Roman" w:cs="Times New Roman"/>
          <w:sz w:val="28"/>
          <w:szCs w:val="28"/>
        </w:rPr>
        <w:t>більше  проти</w:t>
      </w:r>
      <w:proofErr w:type="gramEnd"/>
      <w:r w:rsidRPr="00E3428A">
        <w:rPr>
          <w:rFonts w:ascii="Times New Roman" w:hAnsi="Times New Roman" w:cs="Times New Roman"/>
          <w:sz w:val="28"/>
          <w:szCs w:val="28"/>
        </w:rPr>
        <w:t xml:space="preserve"> минулого року реалізували промислової продукції підприємства деревообробної промисловості міста, найбільшим з </w:t>
      </w:r>
      <w:r w:rsidRPr="00E3428A">
        <w:rPr>
          <w:rFonts w:ascii="Times New Roman" w:hAnsi="Times New Roman" w:cs="Times New Roman"/>
          <w:sz w:val="28"/>
          <w:szCs w:val="28"/>
        </w:rPr>
        <w:lastRenderedPageBreak/>
        <w:t>яких є ТОВ «Грейд-плюс». Частка деревообробної промисловості у загальноміських обсягах реалізації щорічно зростає і становить 2</w:t>
      </w:r>
      <w:r w:rsidRPr="00E3428A">
        <w:rPr>
          <w:rFonts w:ascii="Times New Roman" w:hAnsi="Times New Roman" w:cs="Times New Roman"/>
          <w:sz w:val="28"/>
          <w:szCs w:val="28"/>
          <w:lang w:val="uk-UA"/>
        </w:rPr>
        <w:t>5</w:t>
      </w:r>
      <w:r w:rsidRPr="00E3428A">
        <w:rPr>
          <w:rFonts w:ascii="Times New Roman" w:hAnsi="Times New Roman" w:cs="Times New Roman"/>
          <w:sz w:val="28"/>
          <w:szCs w:val="28"/>
        </w:rPr>
        <w:t>,1 %.</w:t>
      </w:r>
    </w:p>
    <w:p w:rsidR="00E3428A" w:rsidRPr="00E3428A" w:rsidRDefault="00E3428A" w:rsidP="00DC36A0">
      <w:pPr>
        <w:spacing w:after="0" w:line="312" w:lineRule="auto"/>
        <w:ind w:firstLine="720"/>
        <w:jc w:val="both"/>
        <w:rPr>
          <w:rFonts w:ascii="Times New Roman" w:hAnsi="Times New Roman" w:cs="Times New Roman"/>
          <w:sz w:val="28"/>
          <w:szCs w:val="28"/>
        </w:rPr>
      </w:pPr>
      <w:r w:rsidRPr="00E3428A">
        <w:rPr>
          <w:rFonts w:ascii="Times New Roman" w:hAnsi="Times New Roman" w:cs="Times New Roman"/>
          <w:sz w:val="28"/>
          <w:szCs w:val="28"/>
          <w:lang w:val="uk-UA"/>
        </w:rPr>
        <w:t xml:space="preserve">Майже в 5,3 рази </w:t>
      </w:r>
      <w:r w:rsidRPr="00E3428A">
        <w:rPr>
          <w:rFonts w:ascii="Times New Roman" w:hAnsi="Times New Roman" w:cs="Times New Roman"/>
          <w:sz w:val="28"/>
          <w:szCs w:val="28"/>
        </w:rPr>
        <w:t>зросли обсяги реалізації у промисловості будівельних матеріалів (ТОВ «ШБУ № 9», ТОВ «Лубнижитлобуд 2010» та інші), частка якої у загальноміських обсягах реалізації складає 1,6 %.</w:t>
      </w:r>
    </w:p>
    <w:p w:rsidR="00E3428A" w:rsidRPr="00E3428A" w:rsidRDefault="00E3428A" w:rsidP="00DC36A0">
      <w:pPr>
        <w:spacing w:after="0" w:line="312" w:lineRule="auto"/>
        <w:ind w:firstLine="720"/>
        <w:jc w:val="both"/>
        <w:rPr>
          <w:rFonts w:ascii="Times New Roman" w:hAnsi="Times New Roman" w:cs="Times New Roman"/>
          <w:sz w:val="28"/>
          <w:szCs w:val="28"/>
        </w:rPr>
      </w:pPr>
      <w:r w:rsidRPr="00E3428A">
        <w:rPr>
          <w:rFonts w:ascii="Times New Roman" w:hAnsi="Times New Roman" w:cs="Times New Roman"/>
          <w:sz w:val="28"/>
          <w:szCs w:val="28"/>
        </w:rPr>
        <w:t xml:space="preserve">Підприємства машинобудування (найбільшими підприємствами галузі є Відокремлений підрозділ «Лубенський верстатобудівний завод» АТ «Мотор Січ», ПП «Лубнимаш» та ТОВ «Спецлісмаш») у </w:t>
      </w:r>
      <w:r w:rsidRPr="00E3428A">
        <w:rPr>
          <w:rFonts w:ascii="Times New Roman" w:hAnsi="Times New Roman" w:cs="Times New Roman"/>
          <w:sz w:val="28"/>
          <w:szCs w:val="28"/>
          <w:lang w:val="uk-UA"/>
        </w:rPr>
        <w:t xml:space="preserve">І півріччі </w:t>
      </w:r>
      <w:r w:rsidRPr="00E3428A">
        <w:rPr>
          <w:rFonts w:ascii="Times New Roman" w:hAnsi="Times New Roman" w:cs="Times New Roman"/>
          <w:sz w:val="28"/>
          <w:szCs w:val="28"/>
        </w:rPr>
        <w:t>202</w:t>
      </w:r>
      <w:r w:rsidRPr="00E3428A">
        <w:rPr>
          <w:rFonts w:ascii="Times New Roman" w:hAnsi="Times New Roman" w:cs="Times New Roman"/>
          <w:sz w:val="28"/>
          <w:szCs w:val="28"/>
          <w:lang w:val="uk-UA"/>
        </w:rPr>
        <w:t>1</w:t>
      </w:r>
      <w:r w:rsidRPr="00E3428A">
        <w:rPr>
          <w:rFonts w:ascii="Times New Roman" w:hAnsi="Times New Roman" w:cs="Times New Roman"/>
          <w:sz w:val="28"/>
          <w:szCs w:val="28"/>
        </w:rPr>
        <w:t xml:space="preserve"> ро</w:t>
      </w:r>
      <w:r w:rsidRPr="00E3428A">
        <w:rPr>
          <w:rFonts w:ascii="Times New Roman" w:hAnsi="Times New Roman" w:cs="Times New Roman"/>
          <w:sz w:val="28"/>
          <w:szCs w:val="28"/>
          <w:lang w:val="uk-UA"/>
        </w:rPr>
        <w:t>ку</w:t>
      </w:r>
      <w:r w:rsidRPr="00E3428A">
        <w:rPr>
          <w:rFonts w:ascii="Times New Roman" w:hAnsi="Times New Roman" w:cs="Times New Roman"/>
          <w:sz w:val="28"/>
          <w:szCs w:val="28"/>
        </w:rPr>
        <w:t xml:space="preserve"> наростили обсяги реалізації промислової продукції на </w:t>
      </w:r>
      <w:r w:rsidRPr="00E3428A">
        <w:rPr>
          <w:rFonts w:ascii="Times New Roman" w:hAnsi="Times New Roman" w:cs="Times New Roman"/>
          <w:sz w:val="28"/>
          <w:szCs w:val="28"/>
          <w:lang w:val="uk-UA"/>
        </w:rPr>
        <w:t>66,9</w:t>
      </w:r>
      <w:r w:rsidRPr="00E3428A">
        <w:rPr>
          <w:rFonts w:ascii="Times New Roman" w:hAnsi="Times New Roman" w:cs="Times New Roman"/>
          <w:sz w:val="28"/>
          <w:szCs w:val="28"/>
        </w:rPr>
        <w:t xml:space="preserve"> %, частка галузі у загальноміських обсягах реалізації становить 13,1 %. </w:t>
      </w:r>
    </w:p>
    <w:p w:rsidR="00E3428A" w:rsidRPr="00E3428A" w:rsidRDefault="00E3428A" w:rsidP="00DC36A0">
      <w:pPr>
        <w:spacing w:after="0" w:line="312" w:lineRule="auto"/>
        <w:ind w:firstLine="720"/>
        <w:jc w:val="both"/>
        <w:rPr>
          <w:rFonts w:ascii="Times New Roman" w:hAnsi="Times New Roman" w:cs="Times New Roman"/>
          <w:sz w:val="28"/>
          <w:szCs w:val="28"/>
        </w:rPr>
      </w:pPr>
      <w:r w:rsidRPr="00E3428A">
        <w:rPr>
          <w:rFonts w:ascii="Times New Roman" w:hAnsi="Times New Roman" w:cs="Times New Roman"/>
          <w:sz w:val="28"/>
          <w:szCs w:val="28"/>
        </w:rPr>
        <w:t xml:space="preserve">На </w:t>
      </w:r>
      <w:r w:rsidRPr="00E3428A">
        <w:rPr>
          <w:rFonts w:ascii="Times New Roman" w:hAnsi="Times New Roman" w:cs="Times New Roman"/>
          <w:sz w:val="28"/>
          <w:szCs w:val="28"/>
          <w:lang w:val="uk-UA"/>
        </w:rPr>
        <w:t>52,4</w:t>
      </w:r>
      <w:r w:rsidRPr="00E3428A">
        <w:rPr>
          <w:rFonts w:ascii="Times New Roman" w:hAnsi="Times New Roman" w:cs="Times New Roman"/>
          <w:sz w:val="28"/>
          <w:szCs w:val="28"/>
        </w:rPr>
        <w:t xml:space="preserve"> % </w:t>
      </w:r>
      <w:r w:rsidRPr="00E3428A">
        <w:rPr>
          <w:rFonts w:ascii="Times New Roman" w:hAnsi="Times New Roman" w:cs="Times New Roman"/>
          <w:sz w:val="28"/>
          <w:szCs w:val="28"/>
          <w:lang w:val="uk-UA"/>
        </w:rPr>
        <w:t>нарос</w:t>
      </w:r>
      <w:r w:rsidRPr="00E3428A">
        <w:rPr>
          <w:rFonts w:ascii="Times New Roman" w:hAnsi="Times New Roman" w:cs="Times New Roman"/>
          <w:sz w:val="28"/>
          <w:szCs w:val="28"/>
        </w:rPr>
        <w:t>тили обсяги реалізації промислової продукції підприємства по виробництву та розподіл</w:t>
      </w:r>
      <w:r w:rsidR="009B506B">
        <w:rPr>
          <w:rFonts w:ascii="Times New Roman" w:hAnsi="Times New Roman" w:cs="Times New Roman"/>
          <w:sz w:val="28"/>
          <w:szCs w:val="28"/>
          <w:lang w:val="uk-UA"/>
        </w:rPr>
        <w:t>у</w:t>
      </w:r>
      <w:r w:rsidRPr="00E3428A">
        <w:rPr>
          <w:rFonts w:ascii="Times New Roman" w:hAnsi="Times New Roman" w:cs="Times New Roman"/>
          <w:sz w:val="28"/>
          <w:szCs w:val="28"/>
        </w:rPr>
        <w:t xml:space="preserve"> електроенергії, газу та води (АТ «Лубнигаз», ТОВ «ТД «Лубнигаз», КП «Лубни-водоканал» та ОКВП ТГ «Лубнитеплоенерго»). Частка галузі у загальноміських обсягах реалізації становить 30,1 %.</w:t>
      </w:r>
    </w:p>
    <w:p w:rsidR="00E3428A" w:rsidRPr="00E3428A" w:rsidRDefault="00E3428A" w:rsidP="00DC36A0">
      <w:pPr>
        <w:spacing w:after="0" w:line="312" w:lineRule="auto"/>
        <w:ind w:firstLine="720"/>
        <w:jc w:val="both"/>
        <w:rPr>
          <w:rFonts w:ascii="Times New Roman" w:hAnsi="Times New Roman" w:cs="Times New Roman"/>
          <w:sz w:val="28"/>
          <w:szCs w:val="28"/>
        </w:rPr>
      </w:pPr>
      <w:r w:rsidRPr="00E3428A">
        <w:rPr>
          <w:rFonts w:ascii="Times New Roman" w:hAnsi="Times New Roman" w:cs="Times New Roman"/>
          <w:sz w:val="28"/>
          <w:szCs w:val="28"/>
          <w:lang w:val="uk-UA"/>
        </w:rPr>
        <w:t>Практично на рівні відповідного періоду минулого року (91,5 %)</w:t>
      </w:r>
      <w:r w:rsidRPr="00E3428A">
        <w:rPr>
          <w:rFonts w:ascii="Times New Roman" w:hAnsi="Times New Roman" w:cs="Times New Roman"/>
          <w:sz w:val="28"/>
          <w:szCs w:val="28"/>
        </w:rPr>
        <w:t xml:space="preserve"> реалізувала промислової продукції фармацев</w:t>
      </w:r>
      <w:r w:rsidR="00635578">
        <w:rPr>
          <w:rFonts w:ascii="Times New Roman" w:hAnsi="Times New Roman" w:cs="Times New Roman"/>
          <w:sz w:val="28"/>
          <w:szCs w:val="28"/>
        </w:rPr>
        <w:t>тична промисловість</w:t>
      </w:r>
      <w:r w:rsidRPr="00E3428A">
        <w:rPr>
          <w:rFonts w:ascii="Times New Roman" w:hAnsi="Times New Roman" w:cs="Times New Roman"/>
          <w:sz w:val="28"/>
          <w:szCs w:val="28"/>
        </w:rPr>
        <w:t xml:space="preserve">, яка представлена АТ «Лубнифарм» із часткою у загальних обсягах реалізації </w:t>
      </w:r>
      <w:r w:rsidRPr="00E3428A">
        <w:rPr>
          <w:rFonts w:ascii="Times New Roman" w:hAnsi="Times New Roman" w:cs="Times New Roman"/>
          <w:sz w:val="28"/>
          <w:szCs w:val="28"/>
          <w:lang w:val="uk-UA"/>
        </w:rPr>
        <w:t>11,6</w:t>
      </w:r>
      <w:r w:rsidRPr="00E3428A">
        <w:rPr>
          <w:rFonts w:ascii="Times New Roman" w:hAnsi="Times New Roman" w:cs="Times New Roman"/>
          <w:sz w:val="28"/>
          <w:szCs w:val="28"/>
        </w:rPr>
        <w:t>%.</w:t>
      </w:r>
    </w:p>
    <w:p w:rsidR="00E3428A" w:rsidRPr="00E3428A" w:rsidRDefault="00E3428A" w:rsidP="00DC36A0">
      <w:pPr>
        <w:spacing w:after="0" w:line="312" w:lineRule="auto"/>
        <w:ind w:firstLine="720"/>
        <w:jc w:val="both"/>
        <w:rPr>
          <w:rFonts w:ascii="Times New Roman" w:hAnsi="Times New Roman" w:cs="Times New Roman"/>
          <w:sz w:val="28"/>
          <w:szCs w:val="28"/>
        </w:rPr>
      </w:pPr>
      <w:r w:rsidRPr="00E3428A">
        <w:rPr>
          <w:rFonts w:ascii="Times New Roman" w:hAnsi="Times New Roman" w:cs="Times New Roman"/>
          <w:sz w:val="28"/>
          <w:szCs w:val="28"/>
        </w:rPr>
        <w:t>Харчова промисловість представлена ТОВ «Лубенський молочний завод», ТОВ «Лубним’ясо» та ТОВ «Дом Фактор». Обсяги реалізації харчової промисловості  у порівнянні з</w:t>
      </w:r>
      <w:r w:rsidR="00635578">
        <w:rPr>
          <w:rFonts w:ascii="Times New Roman" w:hAnsi="Times New Roman" w:cs="Times New Roman"/>
          <w:sz w:val="28"/>
          <w:szCs w:val="28"/>
        </w:rPr>
        <w:t xml:space="preserve"> минулим роком зменшились на 17</w:t>
      </w:r>
      <w:r w:rsidRPr="00E3428A">
        <w:rPr>
          <w:rFonts w:ascii="Times New Roman" w:hAnsi="Times New Roman" w:cs="Times New Roman"/>
          <w:sz w:val="28"/>
          <w:szCs w:val="28"/>
        </w:rPr>
        <w:t xml:space="preserve"> %. Частка обсягів реалізації підприємств харчової промисловості у загальних обсягах становить </w:t>
      </w:r>
      <w:r w:rsidRPr="00E3428A">
        <w:rPr>
          <w:rFonts w:ascii="Times New Roman" w:hAnsi="Times New Roman" w:cs="Times New Roman"/>
          <w:sz w:val="28"/>
          <w:szCs w:val="28"/>
          <w:lang w:val="uk-UA"/>
        </w:rPr>
        <w:t>17,8</w:t>
      </w:r>
      <w:r w:rsidRPr="00E3428A">
        <w:rPr>
          <w:rFonts w:ascii="Times New Roman" w:hAnsi="Times New Roman" w:cs="Times New Roman"/>
          <w:sz w:val="28"/>
          <w:szCs w:val="28"/>
        </w:rPr>
        <w:t xml:space="preserve"> %. </w:t>
      </w:r>
    </w:p>
    <w:p w:rsidR="00E3428A" w:rsidRPr="00E3428A" w:rsidRDefault="00E3428A" w:rsidP="00DC36A0">
      <w:pPr>
        <w:spacing w:after="0" w:line="312" w:lineRule="auto"/>
        <w:ind w:firstLine="720"/>
        <w:jc w:val="both"/>
        <w:rPr>
          <w:rFonts w:ascii="Times New Roman" w:hAnsi="Times New Roman" w:cs="Times New Roman"/>
          <w:sz w:val="28"/>
          <w:szCs w:val="28"/>
        </w:rPr>
      </w:pPr>
      <w:r w:rsidRPr="00E3428A">
        <w:rPr>
          <w:rFonts w:ascii="Times New Roman" w:hAnsi="Times New Roman" w:cs="Times New Roman"/>
          <w:sz w:val="28"/>
          <w:szCs w:val="28"/>
        </w:rPr>
        <w:t xml:space="preserve">Скорочення обсягів реалізованої промислової продукції на підприємствах легкої промисловості у </w:t>
      </w:r>
      <w:r w:rsidRPr="00E3428A">
        <w:rPr>
          <w:rFonts w:ascii="Times New Roman" w:hAnsi="Times New Roman" w:cs="Times New Roman"/>
          <w:sz w:val="28"/>
          <w:szCs w:val="28"/>
          <w:lang w:val="uk-UA"/>
        </w:rPr>
        <w:t xml:space="preserve">І півріччі </w:t>
      </w:r>
      <w:r w:rsidRPr="00E3428A">
        <w:rPr>
          <w:rFonts w:ascii="Times New Roman" w:hAnsi="Times New Roman" w:cs="Times New Roman"/>
          <w:sz w:val="28"/>
          <w:szCs w:val="28"/>
        </w:rPr>
        <w:t>202</w:t>
      </w:r>
      <w:r w:rsidRPr="00E3428A">
        <w:rPr>
          <w:rFonts w:ascii="Times New Roman" w:hAnsi="Times New Roman" w:cs="Times New Roman"/>
          <w:sz w:val="28"/>
          <w:szCs w:val="28"/>
          <w:lang w:val="uk-UA"/>
        </w:rPr>
        <w:t>1</w:t>
      </w:r>
      <w:r w:rsidRPr="00E3428A">
        <w:rPr>
          <w:rFonts w:ascii="Times New Roman" w:hAnsi="Times New Roman" w:cs="Times New Roman"/>
          <w:sz w:val="28"/>
          <w:szCs w:val="28"/>
        </w:rPr>
        <w:t xml:space="preserve"> ро</w:t>
      </w:r>
      <w:r w:rsidRPr="00E3428A">
        <w:rPr>
          <w:rFonts w:ascii="Times New Roman" w:hAnsi="Times New Roman" w:cs="Times New Roman"/>
          <w:sz w:val="28"/>
          <w:szCs w:val="28"/>
          <w:lang w:val="uk-UA"/>
        </w:rPr>
        <w:t>ку</w:t>
      </w:r>
      <w:r w:rsidRPr="00E3428A">
        <w:rPr>
          <w:rFonts w:ascii="Times New Roman" w:hAnsi="Times New Roman" w:cs="Times New Roman"/>
          <w:sz w:val="28"/>
          <w:szCs w:val="28"/>
        </w:rPr>
        <w:t xml:space="preserve"> склало 53,2 %. Частка легкої промисловості у загальних обсягах реалізації є незначною і становить </w:t>
      </w:r>
      <w:r w:rsidRPr="00E3428A">
        <w:rPr>
          <w:rFonts w:ascii="Times New Roman" w:hAnsi="Times New Roman" w:cs="Times New Roman"/>
          <w:sz w:val="28"/>
          <w:szCs w:val="28"/>
          <w:lang w:val="uk-UA"/>
        </w:rPr>
        <w:t>0,7</w:t>
      </w:r>
      <w:r w:rsidRPr="00E3428A">
        <w:rPr>
          <w:rFonts w:ascii="Times New Roman" w:hAnsi="Times New Roman" w:cs="Times New Roman"/>
          <w:sz w:val="28"/>
          <w:szCs w:val="28"/>
        </w:rPr>
        <w:t xml:space="preserve">%. </w:t>
      </w:r>
      <w:r w:rsidR="00635578">
        <w:rPr>
          <w:rFonts w:ascii="Times New Roman" w:hAnsi="Times New Roman" w:cs="Times New Roman"/>
          <w:sz w:val="28"/>
          <w:szCs w:val="28"/>
          <w:lang w:val="uk-UA"/>
        </w:rPr>
        <w:t xml:space="preserve"> </w:t>
      </w:r>
      <w:r w:rsidRPr="00E3428A">
        <w:rPr>
          <w:rFonts w:ascii="Times New Roman" w:hAnsi="Times New Roman" w:cs="Times New Roman"/>
          <w:sz w:val="28"/>
          <w:szCs w:val="28"/>
        </w:rPr>
        <w:t>Найбільшими підприємствами цієї галузі</w:t>
      </w:r>
      <w:r w:rsidRPr="00E3428A">
        <w:rPr>
          <w:rFonts w:ascii="Times New Roman" w:hAnsi="Times New Roman" w:cs="Times New Roman"/>
          <w:sz w:val="28"/>
          <w:szCs w:val="28"/>
          <w:lang w:val="uk-UA"/>
        </w:rPr>
        <w:t xml:space="preserve"> на даний час</w:t>
      </w:r>
      <w:r w:rsidRPr="00E3428A">
        <w:rPr>
          <w:rFonts w:ascii="Times New Roman" w:hAnsi="Times New Roman" w:cs="Times New Roman"/>
          <w:sz w:val="28"/>
          <w:szCs w:val="28"/>
        </w:rPr>
        <w:t xml:space="preserve"> </w:t>
      </w:r>
      <w:r w:rsidRPr="00E3428A">
        <w:rPr>
          <w:rFonts w:ascii="Times New Roman" w:hAnsi="Times New Roman" w:cs="Times New Roman"/>
          <w:sz w:val="28"/>
          <w:szCs w:val="28"/>
          <w:lang w:val="uk-UA"/>
        </w:rPr>
        <w:t xml:space="preserve">є </w:t>
      </w:r>
      <w:r w:rsidRPr="00E3428A">
        <w:rPr>
          <w:rFonts w:ascii="Times New Roman" w:hAnsi="Times New Roman" w:cs="Times New Roman"/>
          <w:sz w:val="28"/>
          <w:szCs w:val="28"/>
        </w:rPr>
        <w:t>ТОВ «Лубенська взуттєва фабрика» та ТОВ «Валтекс-маркетинг Плюс». Основною причиною скорочення обсягів реалізації у галузі є припинення діяльності найбільшого підприємства галузі ПрАТ «Дика Орхідея, Україна</w:t>
      </w:r>
      <w:proofErr w:type="gramStart"/>
      <w:r w:rsidRPr="00E3428A">
        <w:rPr>
          <w:rFonts w:ascii="Times New Roman" w:hAnsi="Times New Roman" w:cs="Times New Roman"/>
          <w:sz w:val="28"/>
          <w:szCs w:val="28"/>
        </w:rPr>
        <w:t>» .</w:t>
      </w:r>
      <w:proofErr w:type="gramEnd"/>
    </w:p>
    <w:p w:rsidR="00E3428A" w:rsidRPr="00E3428A" w:rsidRDefault="00E3428A" w:rsidP="00DC36A0">
      <w:pPr>
        <w:spacing w:after="0" w:line="312" w:lineRule="auto"/>
        <w:ind w:firstLine="567"/>
        <w:jc w:val="both"/>
        <w:rPr>
          <w:rFonts w:ascii="Times New Roman" w:hAnsi="Times New Roman" w:cs="Times New Roman"/>
          <w:sz w:val="28"/>
          <w:szCs w:val="28"/>
        </w:rPr>
      </w:pPr>
      <w:r w:rsidRPr="00E3428A">
        <w:rPr>
          <w:rFonts w:ascii="Times New Roman" w:hAnsi="Times New Roman" w:cs="Times New Roman"/>
          <w:sz w:val="28"/>
          <w:szCs w:val="28"/>
          <w:lang w:val="uk-UA"/>
        </w:rPr>
        <w:t xml:space="preserve">У зв’язку з тим, що чинними нормативно-правовими документами не передбачено формування показників державними органами статистики в розрізі територіальних громад, офіційна статистична інформація про кількість населення Лубенської територіальної громади відсутня. За </w:t>
      </w:r>
      <w:r w:rsidRPr="00E3428A">
        <w:rPr>
          <w:rFonts w:ascii="Times New Roman" w:hAnsi="Times New Roman" w:cs="Times New Roman"/>
          <w:sz w:val="28"/>
          <w:szCs w:val="28"/>
          <w:lang w:val="uk-UA"/>
        </w:rPr>
        <w:lastRenderedPageBreak/>
        <w:t>останніми статистичними даними, ч</w:t>
      </w:r>
      <w:r w:rsidRPr="00E3428A">
        <w:rPr>
          <w:rFonts w:ascii="Times New Roman" w:hAnsi="Times New Roman" w:cs="Times New Roman"/>
          <w:sz w:val="28"/>
          <w:szCs w:val="28"/>
        </w:rPr>
        <w:t>исельність наявного населення в місті</w:t>
      </w:r>
      <w:r w:rsidRPr="00E3428A">
        <w:rPr>
          <w:rFonts w:ascii="Times New Roman" w:hAnsi="Times New Roman" w:cs="Times New Roman"/>
          <w:sz w:val="28"/>
          <w:szCs w:val="28"/>
          <w:lang w:val="uk-UA"/>
        </w:rPr>
        <w:t xml:space="preserve"> Лубни</w:t>
      </w:r>
      <w:r w:rsidRPr="00E3428A">
        <w:rPr>
          <w:rFonts w:ascii="Times New Roman" w:hAnsi="Times New Roman" w:cs="Times New Roman"/>
          <w:sz w:val="28"/>
          <w:szCs w:val="28"/>
        </w:rPr>
        <w:t xml:space="preserve"> станом на 01.</w:t>
      </w:r>
      <w:r w:rsidRPr="00E3428A">
        <w:rPr>
          <w:rFonts w:ascii="Times New Roman" w:hAnsi="Times New Roman" w:cs="Times New Roman"/>
          <w:sz w:val="28"/>
          <w:szCs w:val="28"/>
          <w:lang w:val="uk-UA"/>
        </w:rPr>
        <w:t>06</w:t>
      </w:r>
      <w:r w:rsidRPr="00E3428A">
        <w:rPr>
          <w:rFonts w:ascii="Times New Roman" w:hAnsi="Times New Roman" w:cs="Times New Roman"/>
          <w:sz w:val="28"/>
          <w:szCs w:val="28"/>
        </w:rPr>
        <w:t>.202</w:t>
      </w:r>
      <w:r w:rsidRPr="00E3428A">
        <w:rPr>
          <w:rFonts w:ascii="Times New Roman" w:hAnsi="Times New Roman" w:cs="Times New Roman"/>
          <w:sz w:val="28"/>
          <w:szCs w:val="28"/>
          <w:lang w:val="uk-UA"/>
        </w:rPr>
        <w:t>1</w:t>
      </w:r>
      <w:r w:rsidRPr="00E3428A">
        <w:rPr>
          <w:rFonts w:ascii="Times New Roman" w:hAnsi="Times New Roman" w:cs="Times New Roman"/>
          <w:sz w:val="28"/>
          <w:szCs w:val="28"/>
        </w:rPr>
        <w:t xml:space="preserve"> року становила </w:t>
      </w:r>
      <w:r w:rsidRPr="00E3428A">
        <w:rPr>
          <w:rFonts w:ascii="Times New Roman" w:hAnsi="Times New Roman" w:cs="Times New Roman"/>
          <w:sz w:val="28"/>
          <w:szCs w:val="28"/>
          <w:lang w:val="uk-UA"/>
        </w:rPr>
        <w:t>44406</w:t>
      </w:r>
      <w:r w:rsidRPr="00E3428A">
        <w:rPr>
          <w:rFonts w:ascii="Times New Roman" w:hAnsi="Times New Roman" w:cs="Times New Roman"/>
          <w:sz w:val="28"/>
          <w:szCs w:val="28"/>
        </w:rPr>
        <w:t xml:space="preserve"> осіб. </w:t>
      </w:r>
      <w:r w:rsidR="00635578">
        <w:rPr>
          <w:rFonts w:ascii="Times New Roman" w:hAnsi="Times New Roman" w:cs="Times New Roman"/>
          <w:sz w:val="28"/>
          <w:szCs w:val="28"/>
          <w:lang w:val="uk-UA"/>
        </w:rPr>
        <w:t xml:space="preserve"> </w:t>
      </w:r>
      <w:r w:rsidRPr="00E3428A">
        <w:rPr>
          <w:rFonts w:ascii="Times New Roman" w:hAnsi="Times New Roman" w:cs="Times New Roman"/>
          <w:sz w:val="28"/>
          <w:szCs w:val="28"/>
          <w:lang w:val="uk-UA"/>
        </w:rPr>
        <w:t>Природне</w:t>
      </w:r>
      <w:r w:rsidRPr="00E3428A">
        <w:rPr>
          <w:rFonts w:ascii="Times New Roman" w:hAnsi="Times New Roman" w:cs="Times New Roman"/>
          <w:sz w:val="28"/>
          <w:szCs w:val="28"/>
        </w:rPr>
        <w:t xml:space="preserve"> скорочення мешканців міста за цей період склало </w:t>
      </w:r>
      <w:r w:rsidRPr="00E3428A">
        <w:rPr>
          <w:rFonts w:ascii="Times New Roman" w:hAnsi="Times New Roman" w:cs="Times New Roman"/>
          <w:sz w:val="28"/>
          <w:szCs w:val="28"/>
          <w:lang w:val="uk-UA"/>
        </w:rPr>
        <w:t>274</w:t>
      </w:r>
      <w:r w:rsidRPr="00E3428A">
        <w:rPr>
          <w:rFonts w:ascii="Times New Roman" w:hAnsi="Times New Roman" w:cs="Times New Roman"/>
          <w:sz w:val="28"/>
          <w:szCs w:val="28"/>
        </w:rPr>
        <w:t xml:space="preserve"> ос</w:t>
      </w:r>
      <w:r w:rsidRPr="00E3428A">
        <w:rPr>
          <w:rFonts w:ascii="Times New Roman" w:hAnsi="Times New Roman" w:cs="Times New Roman"/>
          <w:sz w:val="28"/>
          <w:szCs w:val="28"/>
          <w:lang w:val="uk-UA"/>
        </w:rPr>
        <w:t>о</w:t>
      </w:r>
      <w:r w:rsidRPr="00E3428A">
        <w:rPr>
          <w:rFonts w:ascii="Times New Roman" w:hAnsi="Times New Roman" w:cs="Times New Roman"/>
          <w:sz w:val="28"/>
          <w:szCs w:val="28"/>
        </w:rPr>
        <w:t>б</w:t>
      </w:r>
      <w:r w:rsidRPr="00E3428A">
        <w:rPr>
          <w:rFonts w:ascii="Times New Roman" w:hAnsi="Times New Roman" w:cs="Times New Roman"/>
          <w:sz w:val="28"/>
          <w:szCs w:val="28"/>
          <w:lang w:val="uk-UA"/>
        </w:rPr>
        <w:t>и</w:t>
      </w:r>
      <w:r w:rsidRPr="00E3428A">
        <w:rPr>
          <w:rFonts w:ascii="Times New Roman" w:hAnsi="Times New Roman" w:cs="Times New Roman"/>
          <w:sz w:val="28"/>
          <w:szCs w:val="28"/>
        </w:rPr>
        <w:t xml:space="preserve">. </w:t>
      </w:r>
    </w:p>
    <w:p w:rsidR="00E3428A" w:rsidRPr="00E3428A" w:rsidRDefault="00E3428A" w:rsidP="00DC36A0">
      <w:pPr>
        <w:pStyle w:val="a5"/>
        <w:spacing w:line="312" w:lineRule="auto"/>
        <w:ind w:firstLine="720"/>
        <w:jc w:val="both"/>
        <w:rPr>
          <w:sz w:val="28"/>
          <w:szCs w:val="28"/>
        </w:rPr>
      </w:pPr>
      <w:r w:rsidRPr="00E3428A">
        <w:rPr>
          <w:sz w:val="28"/>
          <w:szCs w:val="28"/>
        </w:rPr>
        <w:t xml:space="preserve">Згідно з останніми статистичними даними, </w:t>
      </w:r>
      <w:r w:rsidRPr="00E3428A">
        <w:rPr>
          <w:sz w:val="28"/>
          <w:szCs w:val="28"/>
          <w:u w:val="single"/>
        </w:rPr>
        <w:t>ф</w:t>
      </w:r>
      <w:r w:rsidRPr="00E3428A">
        <w:rPr>
          <w:bCs/>
          <w:sz w:val="28"/>
          <w:szCs w:val="28"/>
          <w:u w:val="single"/>
        </w:rPr>
        <w:t>інансовий результат</w:t>
      </w:r>
      <w:r w:rsidRPr="00E3428A">
        <w:rPr>
          <w:bCs/>
          <w:sz w:val="28"/>
          <w:szCs w:val="28"/>
        </w:rPr>
        <w:t xml:space="preserve"> господарської діяльності (до оподаткування) підприємств  за 2020 рік склав 135,1 млн.</w:t>
      </w:r>
      <w:r w:rsidRPr="00E3428A">
        <w:rPr>
          <w:sz w:val="28"/>
          <w:szCs w:val="28"/>
        </w:rPr>
        <w:t xml:space="preserve"> грн. прибутку, тоді як у попередньому році фінансовий результат становив </w:t>
      </w:r>
      <w:r w:rsidRPr="00E3428A">
        <w:rPr>
          <w:bCs/>
          <w:sz w:val="28"/>
          <w:szCs w:val="28"/>
        </w:rPr>
        <w:t xml:space="preserve">198,4 </w:t>
      </w:r>
      <w:r w:rsidRPr="00E3428A">
        <w:rPr>
          <w:sz w:val="28"/>
          <w:szCs w:val="28"/>
        </w:rPr>
        <w:t>млн. грн. прибутку.</w:t>
      </w:r>
    </w:p>
    <w:p w:rsidR="00E3428A" w:rsidRPr="00E3428A" w:rsidRDefault="00E3428A" w:rsidP="00DC36A0">
      <w:pPr>
        <w:spacing w:after="0" w:line="312" w:lineRule="auto"/>
        <w:ind w:firstLine="720"/>
        <w:jc w:val="both"/>
        <w:rPr>
          <w:rFonts w:ascii="Times New Roman" w:hAnsi="Times New Roman" w:cs="Times New Roman"/>
          <w:sz w:val="28"/>
          <w:szCs w:val="28"/>
        </w:rPr>
      </w:pPr>
      <w:r w:rsidRPr="00E3428A">
        <w:rPr>
          <w:rFonts w:ascii="Times New Roman" w:hAnsi="Times New Roman" w:cs="Times New Roman"/>
          <w:sz w:val="28"/>
          <w:szCs w:val="28"/>
          <w:lang w:val="uk-UA"/>
        </w:rPr>
        <w:t>За розрахунковими</w:t>
      </w:r>
      <w:r w:rsidRPr="00E3428A">
        <w:rPr>
          <w:rFonts w:ascii="Times New Roman" w:hAnsi="Times New Roman" w:cs="Times New Roman"/>
          <w:sz w:val="28"/>
          <w:szCs w:val="28"/>
        </w:rPr>
        <w:t xml:space="preserve"> даними, </w:t>
      </w:r>
      <w:r w:rsidRPr="00E3428A">
        <w:rPr>
          <w:rFonts w:ascii="Times New Roman" w:hAnsi="Times New Roman" w:cs="Times New Roman"/>
          <w:sz w:val="28"/>
          <w:szCs w:val="28"/>
          <w:u w:val="single"/>
        </w:rPr>
        <w:t>середньомісячна заробітна плата</w:t>
      </w:r>
      <w:r w:rsidRPr="00E3428A">
        <w:rPr>
          <w:rFonts w:ascii="Times New Roman" w:hAnsi="Times New Roman" w:cs="Times New Roman"/>
          <w:sz w:val="28"/>
          <w:szCs w:val="28"/>
        </w:rPr>
        <w:t xml:space="preserve"> працівників </w:t>
      </w:r>
      <w:r w:rsidRPr="00E3428A">
        <w:rPr>
          <w:rFonts w:ascii="Times New Roman" w:hAnsi="Times New Roman" w:cs="Times New Roman"/>
          <w:sz w:val="28"/>
          <w:szCs w:val="28"/>
          <w:lang w:val="uk-UA"/>
        </w:rPr>
        <w:t xml:space="preserve">громади </w:t>
      </w:r>
      <w:r w:rsidRPr="00E3428A">
        <w:rPr>
          <w:rFonts w:ascii="Times New Roman" w:hAnsi="Times New Roman" w:cs="Times New Roman"/>
          <w:sz w:val="28"/>
          <w:szCs w:val="28"/>
        </w:rPr>
        <w:t>за І</w:t>
      </w:r>
      <w:r w:rsidRPr="00E3428A">
        <w:rPr>
          <w:rFonts w:ascii="Times New Roman" w:hAnsi="Times New Roman" w:cs="Times New Roman"/>
          <w:sz w:val="28"/>
          <w:szCs w:val="28"/>
          <w:lang w:val="en-US"/>
        </w:rPr>
        <w:t>V</w:t>
      </w:r>
      <w:r w:rsidRPr="00E3428A">
        <w:rPr>
          <w:rFonts w:ascii="Times New Roman" w:hAnsi="Times New Roman" w:cs="Times New Roman"/>
          <w:sz w:val="28"/>
          <w:szCs w:val="28"/>
        </w:rPr>
        <w:t xml:space="preserve"> квартал 2020 року встановилась на рівні </w:t>
      </w:r>
      <w:r w:rsidRPr="00E3428A">
        <w:rPr>
          <w:rFonts w:ascii="Times New Roman" w:hAnsi="Times New Roman" w:cs="Times New Roman"/>
          <w:sz w:val="28"/>
          <w:szCs w:val="28"/>
          <w:lang w:val="uk-UA"/>
        </w:rPr>
        <w:t>9200</w:t>
      </w:r>
      <w:r w:rsidRPr="00E3428A">
        <w:rPr>
          <w:rFonts w:ascii="Times New Roman" w:hAnsi="Times New Roman" w:cs="Times New Roman"/>
          <w:sz w:val="28"/>
          <w:szCs w:val="28"/>
        </w:rPr>
        <w:t xml:space="preserve"> грн. проти </w:t>
      </w:r>
      <w:r w:rsidRPr="00E3428A">
        <w:rPr>
          <w:rFonts w:ascii="Times New Roman" w:hAnsi="Times New Roman" w:cs="Times New Roman"/>
          <w:sz w:val="28"/>
          <w:szCs w:val="28"/>
          <w:lang w:val="uk-UA"/>
        </w:rPr>
        <w:t xml:space="preserve">7399 </w:t>
      </w:r>
      <w:r w:rsidRPr="00E3428A">
        <w:rPr>
          <w:rFonts w:ascii="Times New Roman" w:hAnsi="Times New Roman" w:cs="Times New Roman"/>
          <w:sz w:val="28"/>
          <w:szCs w:val="28"/>
        </w:rPr>
        <w:t xml:space="preserve">грн. у відповідному періоді минулого року (темп росту – 124,3%). </w:t>
      </w:r>
    </w:p>
    <w:p w:rsidR="00E3428A" w:rsidRPr="00E3428A" w:rsidRDefault="00E3428A" w:rsidP="00DC36A0">
      <w:pPr>
        <w:spacing w:after="0" w:line="312" w:lineRule="auto"/>
        <w:ind w:firstLine="720"/>
        <w:jc w:val="both"/>
        <w:rPr>
          <w:rFonts w:ascii="Times New Roman" w:hAnsi="Times New Roman" w:cs="Times New Roman"/>
          <w:sz w:val="28"/>
          <w:szCs w:val="28"/>
        </w:rPr>
      </w:pPr>
      <w:r w:rsidRPr="00E3428A">
        <w:rPr>
          <w:rFonts w:ascii="Times New Roman" w:hAnsi="Times New Roman" w:cs="Times New Roman"/>
          <w:sz w:val="28"/>
          <w:szCs w:val="28"/>
        </w:rPr>
        <w:t xml:space="preserve">Протягом </w:t>
      </w:r>
      <w:r w:rsidRPr="00E3428A">
        <w:rPr>
          <w:rFonts w:ascii="Times New Roman" w:hAnsi="Times New Roman" w:cs="Times New Roman"/>
          <w:sz w:val="28"/>
          <w:szCs w:val="28"/>
          <w:lang w:val="uk-UA"/>
        </w:rPr>
        <w:t xml:space="preserve">І півріччя </w:t>
      </w:r>
      <w:r w:rsidRPr="00E3428A">
        <w:rPr>
          <w:rFonts w:ascii="Times New Roman" w:hAnsi="Times New Roman" w:cs="Times New Roman"/>
          <w:sz w:val="28"/>
          <w:szCs w:val="28"/>
        </w:rPr>
        <w:t>202</w:t>
      </w:r>
      <w:r w:rsidRPr="00E3428A">
        <w:rPr>
          <w:rFonts w:ascii="Times New Roman" w:hAnsi="Times New Roman" w:cs="Times New Roman"/>
          <w:sz w:val="28"/>
          <w:szCs w:val="28"/>
          <w:lang w:val="uk-UA"/>
        </w:rPr>
        <w:t>1</w:t>
      </w:r>
      <w:r w:rsidRPr="00E3428A">
        <w:rPr>
          <w:rFonts w:ascii="Times New Roman" w:hAnsi="Times New Roman" w:cs="Times New Roman"/>
          <w:sz w:val="28"/>
          <w:szCs w:val="28"/>
        </w:rPr>
        <w:t xml:space="preserve"> року вдалося не допустити виникнення заборгованості з виплати заробітної плати. </w:t>
      </w:r>
    </w:p>
    <w:p w:rsidR="00E3428A" w:rsidRPr="00E3428A" w:rsidRDefault="00E3428A" w:rsidP="00DC36A0">
      <w:pPr>
        <w:spacing w:after="0" w:line="312" w:lineRule="auto"/>
        <w:ind w:firstLine="720"/>
        <w:jc w:val="both"/>
        <w:outlineLvl w:val="2"/>
        <w:rPr>
          <w:rFonts w:ascii="Times New Roman" w:hAnsi="Times New Roman" w:cs="Times New Roman"/>
          <w:sz w:val="28"/>
          <w:szCs w:val="28"/>
          <w:lang w:val="uk-UA"/>
        </w:rPr>
      </w:pPr>
      <w:r w:rsidRPr="00E3428A">
        <w:rPr>
          <w:rFonts w:ascii="Times New Roman" w:hAnsi="Times New Roman" w:cs="Times New Roman"/>
          <w:sz w:val="28"/>
          <w:szCs w:val="28"/>
          <w:lang w:val="uk-UA"/>
        </w:rPr>
        <w:t xml:space="preserve">Виконавчим комітетом також ведеться активна робота по залученню інвестицій у соціально-економічний розвиток громади. Так, у І півріччі </w:t>
      </w:r>
      <w:r w:rsidR="00454DE8">
        <w:rPr>
          <w:rFonts w:ascii="Times New Roman" w:hAnsi="Times New Roman" w:cs="Times New Roman"/>
          <w:sz w:val="28"/>
          <w:szCs w:val="28"/>
          <w:lang w:val="uk-UA"/>
        </w:rPr>
        <w:t xml:space="preserve">           </w:t>
      </w:r>
      <w:r w:rsidRPr="00E3428A">
        <w:rPr>
          <w:rFonts w:ascii="Times New Roman" w:hAnsi="Times New Roman" w:cs="Times New Roman"/>
          <w:sz w:val="28"/>
          <w:szCs w:val="28"/>
          <w:lang w:val="uk-UA"/>
        </w:rPr>
        <w:t xml:space="preserve">2021 року подано 3 проєкти на конкурсний відбір проєктів і програм, що можуть реалізуватися за рахунок коштів державного фонду регіонального розвитку, готується до подання на обласний конкурс проєктів розвитку територіальних громад проєкт з реконструкції велодоріжки у м. Лубни, подано 5 проєктів на обласний конкурс екологічних ініціатив (2 з поданих проєктів отримали перемогу), готуються проєкти на обласний бюджет участі. Проведено конкурс Громадський бюджет Лубенської територіальної громади (на даний час завершується процедура визначення переможців), ведуться роботи по підготовці до міського конкурсу Шкільний громадський бюджет. </w:t>
      </w:r>
    </w:p>
    <w:p w:rsidR="00E3428A" w:rsidRPr="00E3428A" w:rsidRDefault="00E3428A" w:rsidP="00DC36A0">
      <w:pPr>
        <w:spacing w:after="0" w:line="312" w:lineRule="auto"/>
        <w:ind w:firstLine="720"/>
        <w:jc w:val="both"/>
        <w:outlineLvl w:val="2"/>
        <w:rPr>
          <w:rFonts w:ascii="Times New Roman" w:hAnsi="Times New Roman" w:cs="Times New Roman"/>
          <w:sz w:val="28"/>
          <w:szCs w:val="28"/>
          <w:lang w:val="uk-UA"/>
        </w:rPr>
      </w:pPr>
      <w:r w:rsidRPr="00E3428A">
        <w:rPr>
          <w:rFonts w:ascii="Times New Roman" w:hAnsi="Times New Roman" w:cs="Times New Roman"/>
          <w:sz w:val="28"/>
          <w:szCs w:val="28"/>
          <w:lang w:val="uk-UA"/>
        </w:rPr>
        <w:t>Крім того, подані проєктні заявки на такі конкурси:</w:t>
      </w:r>
    </w:p>
    <w:p w:rsidR="00E3428A" w:rsidRPr="00E3428A" w:rsidRDefault="00E3428A" w:rsidP="00DC36A0">
      <w:pPr>
        <w:numPr>
          <w:ilvl w:val="0"/>
          <w:numId w:val="1"/>
        </w:numPr>
        <w:tabs>
          <w:tab w:val="left" w:pos="993"/>
        </w:tabs>
        <w:spacing w:after="0" w:line="312" w:lineRule="auto"/>
        <w:ind w:left="0" w:firstLine="720"/>
        <w:jc w:val="both"/>
        <w:outlineLvl w:val="2"/>
        <w:rPr>
          <w:rFonts w:ascii="Times New Roman" w:hAnsi="Times New Roman" w:cs="Times New Roman"/>
          <w:sz w:val="28"/>
          <w:szCs w:val="28"/>
          <w:lang w:val="uk-UA"/>
        </w:rPr>
      </w:pPr>
      <w:r w:rsidRPr="00E3428A">
        <w:rPr>
          <w:rFonts w:ascii="Times New Roman" w:hAnsi="Times New Roman" w:cs="Times New Roman"/>
          <w:sz w:val="28"/>
          <w:szCs w:val="28"/>
          <w:lang w:val="uk-UA"/>
        </w:rPr>
        <w:t>подано заявку та отримано перемогу в українсько-швейцарському проєкті «Діємо для</w:t>
      </w:r>
      <w:r w:rsidRPr="00E3428A">
        <w:rPr>
          <w:rFonts w:ascii="Times New Roman" w:hAnsi="Times New Roman" w:cs="Times New Roman"/>
          <w:sz w:val="28"/>
          <w:szCs w:val="28"/>
        </w:rPr>
        <w:t> </w:t>
      </w:r>
      <w:r w:rsidRPr="00E3428A">
        <w:rPr>
          <w:rFonts w:ascii="Times New Roman" w:hAnsi="Times New Roman" w:cs="Times New Roman"/>
          <w:sz w:val="28"/>
          <w:szCs w:val="28"/>
          <w:lang w:val="uk-UA"/>
        </w:rPr>
        <w:t xml:space="preserve"> здоров’я»;</w:t>
      </w:r>
    </w:p>
    <w:p w:rsidR="00E3428A" w:rsidRPr="00E3428A" w:rsidRDefault="00E3428A" w:rsidP="00DC36A0">
      <w:pPr>
        <w:numPr>
          <w:ilvl w:val="0"/>
          <w:numId w:val="1"/>
        </w:numPr>
        <w:tabs>
          <w:tab w:val="left" w:pos="993"/>
        </w:tabs>
        <w:spacing w:after="0" w:line="312" w:lineRule="auto"/>
        <w:ind w:left="0" w:firstLine="720"/>
        <w:jc w:val="both"/>
        <w:outlineLvl w:val="2"/>
        <w:rPr>
          <w:rFonts w:ascii="Times New Roman" w:hAnsi="Times New Roman" w:cs="Times New Roman"/>
          <w:sz w:val="28"/>
          <w:szCs w:val="28"/>
          <w:lang w:val="uk-UA"/>
        </w:rPr>
      </w:pPr>
      <w:r w:rsidRPr="00E3428A">
        <w:rPr>
          <w:rFonts w:ascii="Times New Roman" w:hAnsi="Times New Roman" w:cs="Times New Roman"/>
          <w:sz w:val="28"/>
          <w:szCs w:val="28"/>
          <w:lang w:val="uk-UA"/>
        </w:rPr>
        <w:t xml:space="preserve">підписано меморандум з Німецьким товариством міжнародного співробітництва </w:t>
      </w:r>
      <w:r w:rsidRPr="00E3428A">
        <w:rPr>
          <w:rFonts w:ascii="Times New Roman" w:hAnsi="Times New Roman" w:cs="Times New Roman"/>
          <w:sz w:val="28"/>
          <w:szCs w:val="28"/>
          <w:lang w:val="en-US"/>
        </w:rPr>
        <w:t>GIZ</w:t>
      </w:r>
      <w:r w:rsidRPr="00E3428A">
        <w:rPr>
          <w:rFonts w:ascii="Times New Roman" w:hAnsi="Times New Roman" w:cs="Times New Roman"/>
          <w:sz w:val="28"/>
          <w:szCs w:val="28"/>
          <w:lang w:val="uk-UA"/>
        </w:rPr>
        <w:t xml:space="preserve"> в рамках міжнародної технічної допомоги «Просування енергоефективності та імплементації директиви ЄС про енергоефективність в Україні», в рамках якої громада отримує технічну допомогу та обладнання для енергоменеджменту;</w:t>
      </w:r>
    </w:p>
    <w:p w:rsidR="00E3428A" w:rsidRPr="00E3428A" w:rsidRDefault="00E3428A" w:rsidP="00DC36A0">
      <w:pPr>
        <w:numPr>
          <w:ilvl w:val="0"/>
          <w:numId w:val="1"/>
        </w:numPr>
        <w:tabs>
          <w:tab w:val="left" w:pos="993"/>
        </w:tabs>
        <w:spacing w:after="0" w:line="312" w:lineRule="auto"/>
        <w:ind w:left="0" w:firstLine="720"/>
        <w:jc w:val="both"/>
        <w:outlineLvl w:val="2"/>
        <w:rPr>
          <w:rFonts w:ascii="Times New Roman" w:hAnsi="Times New Roman" w:cs="Times New Roman"/>
          <w:sz w:val="28"/>
          <w:szCs w:val="28"/>
          <w:lang w:val="uk-UA"/>
        </w:rPr>
      </w:pPr>
      <w:r w:rsidRPr="00E3428A">
        <w:rPr>
          <w:rFonts w:ascii="Times New Roman" w:hAnsi="Times New Roman" w:cs="Times New Roman"/>
          <w:sz w:val="28"/>
          <w:szCs w:val="28"/>
          <w:lang w:val="uk-UA"/>
        </w:rPr>
        <w:t>конкурс «Енергоефективні школи» від ДТЕК;</w:t>
      </w:r>
    </w:p>
    <w:p w:rsidR="00E3428A" w:rsidRPr="00E3428A" w:rsidRDefault="00E3428A" w:rsidP="00DC36A0">
      <w:pPr>
        <w:numPr>
          <w:ilvl w:val="0"/>
          <w:numId w:val="1"/>
        </w:numPr>
        <w:tabs>
          <w:tab w:val="left" w:pos="993"/>
        </w:tabs>
        <w:spacing w:after="0" w:line="312" w:lineRule="auto"/>
        <w:ind w:left="0" w:firstLine="720"/>
        <w:jc w:val="both"/>
        <w:outlineLvl w:val="2"/>
        <w:rPr>
          <w:rFonts w:ascii="Times New Roman" w:hAnsi="Times New Roman" w:cs="Times New Roman"/>
          <w:sz w:val="28"/>
          <w:szCs w:val="28"/>
          <w:lang w:val="uk-UA"/>
        </w:rPr>
      </w:pPr>
      <w:r w:rsidRPr="00E3428A">
        <w:rPr>
          <w:rFonts w:ascii="Times New Roman" w:hAnsi="Times New Roman" w:cs="Times New Roman"/>
          <w:sz w:val="28"/>
          <w:szCs w:val="28"/>
          <w:lang w:val="uk-UA"/>
        </w:rPr>
        <w:t xml:space="preserve"> конкурс проєкту </w:t>
      </w:r>
      <w:r w:rsidRPr="00E3428A">
        <w:rPr>
          <w:rFonts w:ascii="Times New Roman" w:hAnsi="Times New Roman" w:cs="Times New Roman"/>
          <w:caps/>
          <w:sz w:val="28"/>
          <w:szCs w:val="28"/>
          <w:lang w:val="uk-UA"/>
        </w:rPr>
        <w:t xml:space="preserve"> USAID </w:t>
      </w:r>
      <w:r w:rsidRPr="00E3428A">
        <w:rPr>
          <w:rFonts w:ascii="Times New Roman" w:hAnsi="Times New Roman" w:cs="Times New Roman"/>
          <w:sz w:val="28"/>
          <w:szCs w:val="28"/>
          <w:lang w:val="uk-UA"/>
        </w:rPr>
        <w:t>«Підвищення ефективності роботи і підзвітності органів місцевого самоврядування»  («ГОВЕРЛА»);</w:t>
      </w:r>
    </w:p>
    <w:p w:rsidR="00E3428A" w:rsidRPr="00E3428A" w:rsidRDefault="00E3428A" w:rsidP="00DC36A0">
      <w:pPr>
        <w:numPr>
          <w:ilvl w:val="0"/>
          <w:numId w:val="1"/>
        </w:numPr>
        <w:tabs>
          <w:tab w:val="left" w:pos="993"/>
        </w:tabs>
        <w:spacing w:after="0" w:line="312" w:lineRule="auto"/>
        <w:ind w:left="0" w:firstLine="720"/>
        <w:jc w:val="both"/>
        <w:outlineLvl w:val="2"/>
        <w:rPr>
          <w:rFonts w:ascii="Times New Roman" w:hAnsi="Times New Roman" w:cs="Times New Roman"/>
          <w:sz w:val="28"/>
          <w:szCs w:val="28"/>
          <w:lang w:val="uk-UA"/>
        </w:rPr>
      </w:pPr>
      <w:r w:rsidRPr="00E3428A">
        <w:rPr>
          <w:rFonts w:ascii="Times New Roman" w:hAnsi="Times New Roman" w:cs="Times New Roman"/>
          <w:sz w:val="28"/>
          <w:szCs w:val="28"/>
          <w:lang w:val="uk-UA"/>
        </w:rPr>
        <w:t>конкурс інфраструктурних грантів від «</w:t>
      </w:r>
      <w:r w:rsidRPr="00E3428A">
        <w:rPr>
          <w:rFonts w:ascii="Times New Roman" w:hAnsi="Times New Roman" w:cs="Times New Roman"/>
          <w:bCs/>
          <w:sz w:val="28"/>
          <w:szCs w:val="28"/>
        </w:rPr>
        <w:t>House</w:t>
      </w:r>
      <w:r w:rsidRPr="00E3428A">
        <w:rPr>
          <w:rFonts w:ascii="Times New Roman" w:hAnsi="Times New Roman" w:cs="Times New Roman"/>
          <w:bCs/>
          <w:sz w:val="28"/>
          <w:szCs w:val="28"/>
          <w:lang w:val="uk-UA"/>
        </w:rPr>
        <w:t xml:space="preserve"> </w:t>
      </w:r>
      <w:r w:rsidRPr="00E3428A">
        <w:rPr>
          <w:rFonts w:ascii="Times New Roman" w:hAnsi="Times New Roman" w:cs="Times New Roman"/>
          <w:bCs/>
          <w:sz w:val="28"/>
          <w:szCs w:val="28"/>
        </w:rPr>
        <w:t>of</w:t>
      </w:r>
      <w:r w:rsidRPr="00E3428A">
        <w:rPr>
          <w:rFonts w:ascii="Times New Roman" w:hAnsi="Times New Roman" w:cs="Times New Roman"/>
          <w:bCs/>
          <w:sz w:val="28"/>
          <w:szCs w:val="28"/>
          <w:lang w:val="uk-UA"/>
        </w:rPr>
        <w:t xml:space="preserve"> </w:t>
      </w:r>
      <w:r w:rsidRPr="00E3428A">
        <w:rPr>
          <w:rFonts w:ascii="Times New Roman" w:hAnsi="Times New Roman" w:cs="Times New Roman"/>
          <w:bCs/>
          <w:sz w:val="28"/>
          <w:szCs w:val="28"/>
        </w:rPr>
        <w:t>Europe</w:t>
      </w:r>
      <w:r w:rsidRPr="00E3428A">
        <w:rPr>
          <w:rFonts w:ascii="Times New Roman" w:hAnsi="Times New Roman" w:cs="Times New Roman"/>
          <w:bCs/>
          <w:sz w:val="28"/>
          <w:szCs w:val="28"/>
          <w:lang w:val="uk-UA"/>
        </w:rPr>
        <w:t>»;</w:t>
      </w:r>
    </w:p>
    <w:p w:rsidR="00E3428A" w:rsidRPr="00E3428A" w:rsidRDefault="00E3428A" w:rsidP="00DC36A0">
      <w:pPr>
        <w:numPr>
          <w:ilvl w:val="0"/>
          <w:numId w:val="1"/>
        </w:numPr>
        <w:tabs>
          <w:tab w:val="left" w:pos="993"/>
        </w:tabs>
        <w:spacing w:after="0" w:line="312" w:lineRule="auto"/>
        <w:ind w:left="0" w:firstLine="720"/>
        <w:jc w:val="both"/>
        <w:outlineLvl w:val="2"/>
        <w:rPr>
          <w:rFonts w:ascii="Times New Roman" w:hAnsi="Times New Roman" w:cs="Times New Roman"/>
          <w:sz w:val="28"/>
          <w:szCs w:val="28"/>
          <w:lang w:val="uk-UA"/>
        </w:rPr>
      </w:pPr>
      <w:r w:rsidRPr="00E3428A">
        <w:rPr>
          <w:rFonts w:ascii="Times New Roman" w:hAnsi="Times New Roman" w:cs="Times New Roman"/>
          <w:sz w:val="28"/>
          <w:szCs w:val="28"/>
          <w:lang w:val="uk-UA"/>
        </w:rPr>
        <w:lastRenderedPageBreak/>
        <w:t>к</w:t>
      </w:r>
      <w:r w:rsidRPr="00E3428A">
        <w:rPr>
          <w:rFonts w:ascii="Times New Roman" w:hAnsi="Times New Roman" w:cs="Times New Roman"/>
          <w:sz w:val="28"/>
          <w:szCs w:val="28"/>
        </w:rPr>
        <w:t>онкурс щодо супроводу розробки Стратегії економічного розвитку громади від Київської школи державного управління ім. Сергія Нижного</w:t>
      </w:r>
      <w:r w:rsidRPr="00E3428A">
        <w:rPr>
          <w:rFonts w:ascii="Times New Roman" w:hAnsi="Times New Roman" w:cs="Times New Roman"/>
          <w:sz w:val="28"/>
          <w:szCs w:val="28"/>
          <w:lang w:val="uk-UA"/>
        </w:rPr>
        <w:t>;</w:t>
      </w:r>
    </w:p>
    <w:p w:rsidR="00E3428A" w:rsidRPr="00E3428A" w:rsidRDefault="00E3428A" w:rsidP="00DC36A0">
      <w:pPr>
        <w:numPr>
          <w:ilvl w:val="0"/>
          <w:numId w:val="1"/>
        </w:numPr>
        <w:tabs>
          <w:tab w:val="left" w:pos="993"/>
        </w:tabs>
        <w:spacing w:after="0" w:line="312" w:lineRule="auto"/>
        <w:ind w:left="0" w:firstLine="720"/>
        <w:jc w:val="both"/>
        <w:outlineLvl w:val="2"/>
        <w:rPr>
          <w:rFonts w:ascii="Times New Roman" w:hAnsi="Times New Roman" w:cs="Times New Roman"/>
          <w:sz w:val="28"/>
          <w:szCs w:val="28"/>
          <w:lang w:val="uk-UA"/>
        </w:rPr>
      </w:pPr>
      <w:r w:rsidRPr="00E3428A">
        <w:rPr>
          <w:rFonts w:ascii="Times New Roman" w:hAnsi="Times New Roman" w:cs="Times New Roman"/>
          <w:sz w:val="28"/>
          <w:szCs w:val="28"/>
          <w:lang w:val="uk-UA"/>
        </w:rPr>
        <w:t xml:space="preserve">конкурс </w:t>
      </w:r>
      <w:r w:rsidRPr="00E3428A">
        <w:rPr>
          <w:rFonts w:ascii="Times New Roman" w:hAnsi="Times New Roman" w:cs="Times New Roman"/>
          <w:sz w:val="28"/>
          <w:szCs w:val="28"/>
        </w:rPr>
        <w:t xml:space="preserve">«Жити на рівних» </w:t>
      </w:r>
      <w:r w:rsidRPr="00E3428A">
        <w:rPr>
          <w:rFonts w:ascii="Times New Roman" w:hAnsi="Times New Roman" w:cs="Times New Roman"/>
          <w:sz w:val="28"/>
          <w:szCs w:val="28"/>
          <w:lang w:val="uk-UA"/>
        </w:rPr>
        <w:t xml:space="preserve">від </w:t>
      </w:r>
      <w:r w:rsidRPr="00E3428A">
        <w:rPr>
          <w:rFonts w:ascii="Times New Roman" w:hAnsi="Times New Roman" w:cs="Times New Roman"/>
          <w:sz w:val="28"/>
          <w:szCs w:val="28"/>
        </w:rPr>
        <w:t>БО «Фонд родини Нечитайло»</w:t>
      </w:r>
      <w:r w:rsidRPr="00E3428A">
        <w:rPr>
          <w:rFonts w:ascii="Times New Roman" w:hAnsi="Times New Roman" w:cs="Times New Roman"/>
          <w:sz w:val="28"/>
          <w:szCs w:val="28"/>
          <w:lang w:val="uk-UA"/>
        </w:rPr>
        <w:t>;</w:t>
      </w:r>
    </w:p>
    <w:p w:rsidR="00E3428A" w:rsidRPr="00E3428A" w:rsidRDefault="00E3428A" w:rsidP="00DC36A0">
      <w:pPr>
        <w:numPr>
          <w:ilvl w:val="0"/>
          <w:numId w:val="1"/>
        </w:numPr>
        <w:tabs>
          <w:tab w:val="left" w:pos="993"/>
        </w:tabs>
        <w:spacing w:after="0" w:line="312" w:lineRule="auto"/>
        <w:ind w:left="0" w:firstLine="720"/>
        <w:jc w:val="both"/>
        <w:outlineLvl w:val="2"/>
        <w:rPr>
          <w:rFonts w:ascii="Times New Roman" w:hAnsi="Times New Roman" w:cs="Times New Roman"/>
          <w:sz w:val="28"/>
          <w:szCs w:val="28"/>
          <w:lang w:val="uk-UA"/>
        </w:rPr>
      </w:pPr>
      <w:r w:rsidRPr="00E3428A">
        <w:rPr>
          <w:rFonts w:ascii="Times New Roman" w:hAnsi="Times New Roman" w:cs="Times New Roman"/>
          <w:sz w:val="28"/>
          <w:szCs w:val="28"/>
          <w:lang w:val="uk-UA"/>
        </w:rPr>
        <w:t>к</w:t>
      </w:r>
      <w:r w:rsidRPr="00E3428A">
        <w:rPr>
          <w:rFonts w:ascii="Times New Roman" w:hAnsi="Times New Roman" w:cs="Times New Roman"/>
          <w:sz w:val="28"/>
          <w:szCs w:val="28"/>
        </w:rPr>
        <w:t>онкурс проєктів з поліпшення соціально-економічних умов</w:t>
      </w:r>
      <w:r w:rsidRPr="00E3428A">
        <w:rPr>
          <w:rFonts w:ascii="Times New Roman" w:hAnsi="Times New Roman" w:cs="Times New Roman"/>
          <w:sz w:val="28"/>
          <w:szCs w:val="28"/>
          <w:lang w:val="uk-UA"/>
        </w:rPr>
        <w:t xml:space="preserve"> </w:t>
      </w:r>
      <w:r w:rsidRPr="00E3428A">
        <w:rPr>
          <w:rFonts w:ascii="Times New Roman" w:hAnsi="Times New Roman" w:cs="Times New Roman"/>
          <w:sz w:val="28"/>
          <w:szCs w:val="28"/>
        </w:rPr>
        <w:t xml:space="preserve">Представництва МОМ в Україні та Агентства США з міжнародного розвитку </w:t>
      </w:r>
      <w:r w:rsidRPr="00E3428A">
        <w:rPr>
          <w:rFonts w:ascii="Times New Roman" w:hAnsi="Times New Roman" w:cs="Times New Roman"/>
          <w:sz w:val="28"/>
          <w:szCs w:val="28"/>
          <w:lang w:val="en-US"/>
        </w:rPr>
        <w:t>USAID</w:t>
      </w:r>
      <w:r w:rsidRPr="00E3428A">
        <w:rPr>
          <w:rFonts w:ascii="Times New Roman" w:hAnsi="Times New Roman" w:cs="Times New Roman"/>
          <w:sz w:val="28"/>
          <w:szCs w:val="28"/>
          <w:lang w:val="uk-UA"/>
        </w:rPr>
        <w:t>;</w:t>
      </w:r>
    </w:p>
    <w:p w:rsidR="00E3428A" w:rsidRPr="00E3428A" w:rsidRDefault="00E3428A" w:rsidP="00DC36A0">
      <w:pPr>
        <w:numPr>
          <w:ilvl w:val="0"/>
          <w:numId w:val="1"/>
        </w:numPr>
        <w:tabs>
          <w:tab w:val="left" w:pos="993"/>
        </w:tabs>
        <w:spacing w:after="0" w:line="312" w:lineRule="auto"/>
        <w:ind w:left="0" w:firstLine="720"/>
        <w:jc w:val="both"/>
        <w:outlineLvl w:val="2"/>
        <w:rPr>
          <w:rFonts w:ascii="Times New Roman" w:hAnsi="Times New Roman" w:cs="Times New Roman"/>
          <w:sz w:val="28"/>
          <w:szCs w:val="28"/>
          <w:lang w:val="uk-UA"/>
        </w:rPr>
      </w:pPr>
      <w:r w:rsidRPr="00E3428A">
        <w:rPr>
          <w:rFonts w:ascii="Times New Roman" w:hAnsi="Times New Roman" w:cs="Times New Roman"/>
          <w:sz w:val="28"/>
          <w:szCs w:val="28"/>
          <w:lang w:val="uk-UA"/>
        </w:rPr>
        <w:t>готується заявка на конкурс «</w:t>
      </w:r>
      <w:r w:rsidRPr="00E3428A">
        <w:rPr>
          <w:rFonts w:ascii="Times New Roman" w:hAnsi="Times New Roman" w:cs="Times New Roman"/>
          <w:sz w:val="28"/>
          <w:szCs w:val="28"/>
          <w:lang w:val="en-US"/>
        </w:rPr>
        <w:t>DREAMactions</w:t>
      </w:r>
      <w:r w:rsidRPr="00E3428A">
        <w:rPr>
          <w:rFonts w:ascii="Times New Roman" w:hAnsi="Times New Roman" w:cs="Times New Roman"/>
          <w:sz w:val="28"/>
          <w:szCs w:val="28"/>
        </w:rPr>
        <w:t xml:space="preserve"> 4.0</w:t>
      </w:r>
      <w:r w:rsidRPr="00E3428A">
        <w:rPr>
          <w:rFonts w:ascii="Times New Roman" w:hAnsi="Times New Roman" w:cs="Times New Roman"/>
          <w:sz w:val="28"/>
          <w:szCs w:val="28"/>
          <w:lang w:val="uk-UA"/>
        </w:rPr>
        <w:t>».</w:t>
      </w:r>
    </w:p>
    <w:p w:rsidR="00E3428A" w:rsidRPr="00365354" w:rsidRDefault="002D310C" w:rsidP="00F769E7">
      <w:pPr>
        <w:spacing w:after="0"/>
        <w:jc w:val="center"/>
        <w:rPr>
          <w:rFonts w:ascii="Times New Roman" w:hAnsi="Times New Roman" w:cs="Times New Roman"/>
          <w:b/>
          <w:sz w:val="28"/>
          <w:szCs w:val="28"/>
          <w:lang w:val="uk-UA"/>
        </w:rPr>
      </w:pPr>
      <w:r w:rsidRPr="00365354">
        <w:rPr>
          <w:rFonts w:ascii="Times New Roman" w:hAnsi="Times New Roman" w:cs="Times New Roman"/>
          <w:b/>
          <w:sz w:val="28"/>
          <w:szCs w:val="28"/>
          <w:lang w:val="uk-UA"/>
        </w:rPr>
        <w:t xml:space="preserve">Основні прогнозні показники економічного і соціального розвитку у </w:t>
      </w:r>
      <w:r w:rsidR="00711BEC" w:rsidRPr="00365354">
        <w:rPr>
          <w:rFonts w:ascii="Times New Roman" w:hAnsi="Times New Roman" w:cs="Times New Roman"/>
          <w:b/>
          <w:sz w:val="28"/>
          <w:szCs w:val="28"/>
          <w:lang w:val="uk-UA"/>
        </w:rPr>
        <w:t xml:space="preserve">       </w:t>
      </w:r>
      <w:r w:rsidR="00F769E7" w:rsidRPr="00365354">
        <w:rPr>
          <w:rFonts w:ascii="Times New Roman" w:hAnsi="Times New Roman" w:cs="Times New Roman"/>
          <w:b/>
          <w:sz w:val="28"/>
          <w:szCs w:val="28"/>
          <w:lang w:val="uk-UA"/>
        </w:rPr>
        <w:t>2020-2024 роках</w:t>
      </w:r>
    </w:p>
    <w:tbl>
      <w:tblPr>
        <w:tblW w:w="9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6"/>
        <w:gridCol w:w="1495"/>
        <w:gridCol w:w="1665"/>
        <w:gridCol w:w="1306"/>
        <w:gridCol w:w="1266"/>
        <w:gridCol w:w="1275"/>
      </w:tblGrid>
      <w:tr w:rsidR="00A14E56" w:rsidRPr="00E3428A" w:rsidTr="00901C98">
        <w:trPr>
          <w:jc w:val="center"/>
        </w:trPr>
        <w:tc>
          <w:tcPr>
            <w:tcW w:w="2986" w:type="dxa"/>
            <w:shd w:val="clear" w:color="auto" w:fill="auto"/>
          </w:tcPr>
          <w:p w:rsidR="00E3428A" w:rsidRPr="00E3428A" w:rsidRDefault="00E3428A" w:rsidP="003A5B35">
            <w:pPr>
              <w:spacing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Найменування показника, одиниця виміру</w:t>
            </w:r>
          </w:p>
        </w:tc>
        <w:tc>
          <w:tcPr>
            <w:tcW w:w="1495" w:type="dxa"/>
            <w:shd w:val="clear" w:color="auto" w:fill="auto"/>
          </w:tcPr>
          <w:p w:rsidR="00E3428A" w:rsidRPr="00E3428A" w:rsidRDefault="00E3428A" w:rsidP="003A5B35">
            <w:pPr>
              <w:spacing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2020 рік (звіт)</w:t>
            </w:r>
          </w:p>
        </w:tc>
        <w:tc>
          <w:tcPr>
            <w:tcW w:w="1665" w:type="dxa"/>
            <w:shd w:val="clear" w:color="auto" w:fill="auto"/>
          </w:tcPr>
          <w:p w:rsidR="00E3428A" w:rsidRPr="00E3428A" w:rsidRDefault="00E3428A" w:rsidP="003A5B35">
            <w:pPr>
              <w:spacing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2021 рік (</w:t>
            </w:r>
            <w:r w:rsidR="00A14E56">
              <w:rPr>
                <w:rFonts w:ascii="Times New Roman" w:hAnsi="Times New Roman" w:cs="Times New Roman"/>
                <w:sz w:val="24"/>
                <w:szCs w:val="24"/>
                <w:lang w:val="uk-UA"/>
              </w:rPr>
              <w:t>очікуване</w:t>
            </w:r>
            <w:r w:rsidRPr="00E3428A">
              <w:rPr>
                <w:rFonts w:ascii="Times New Roman" w:hAnsi="Times New Roman" w:cs="Times New Roman"/>
                <w:sz w:val="24"/>
                <w:szCs w:val="24"/>
                <w:lang w:val="uk-UA"/>
              </w:rPr>
              <w:t>)</w:t>
            </w:r>
          </w:p>
        </w:tc>
        <w:tc>
          <w:tcPr>
            <w:tcW w:w="1306" w:type="dxa"/>
            <w:shd w:val="clear" w:color="auto" w:fill="auto"/>
          </w:tcPr>
          <w:p w:rsidR="00E3428A" w:rsidRPr="00E3428A" w:rsidRDefault="00E3428A" w:rsidP="003A5B35">
            <w:pPr>
              <w:spacing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2022 рік (план)</w:t>
            </w:r>
          </w:p>
        </w:tc>
        <w:tc>
          <w:tcPr>
            <w:tcW w:w="1266" w:type="dxa"/>
            <w:shd w:val="clear" w:color="auto" w:fill="auto"/>
          </w:tcPr>
          <w:p w:rsidR="00E3428A" w:rsidRPr="00E3428A" w:rsidRDefault="00E3428A" w:rsidP="003A5B35">
            <w:pPr>
              <w:spacing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2023 рік (план)</w:t>
            </w:r>
          </w:p>
        </w:tc>
        <w:tc>
          <w:tcPr>
            <w:tcW w:w="1275" w:type="dxa"/>
            <w:shd w:val="clear" w:color="auto" w:fill="auto"/>
          </w:tcPr>
          <w:p w:rsidR="00E3428A" w:rsidRPr="00E3428A" w:rsidRDefault="00E3428A" w:rsidP="003A5B35">
            <w:pPr>
              <w:spacing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2024 рік (план)</w:t>
            </w:r>
          </w:p>
        </w:tc>
      </w:tr>
      <w:tr w:rsidR="00A14E56" w:rsidRPr="00E3428A" w:rsidTr="00901C98">
        <w:trPr>
          <w:jc w:val="center"/>
        </w:trPr>
        <w:tc>
          <w:tcPr>
            <w:tcW w:w="2986" w:type="dxa"/>
            <w:shd w:val="clear" w:color="auto" w:fill="auto"/>
          </w:tcPr>
          <w:p w:rsidR="00E3428A" w:rsidRPr="00E3428A" w:rsidRDefault="00E3428A" w:rsidP="00DF3C6E">
            <w:pPr>
              <w:spacing w:after="0" w:line="240" w:lineRule="auto"/>
              <w:rPr>
                <w:rFonts w:ascii="Times New Roman" w:hAnsi="Times New Roman" w:cs="Times New Roman"/>
                <w:sz w:val="24"/>
                <w:szCs w:val="24"/>
                <w:lang w:val="uk-UA"/>
              </w:rPr>
            </w:pPr>
            <w:r w:rsidRPr="00E3428A">
              <w:rPr>
                <w:rFonts w:ascii="Times New Roman" w:hAnsi="Times New Roman" w:cs="Times New Roman"/>
                <w:sz w:val="24"/>
                <w:szCs w:val="24"/>
                <w:lang w:val="uk-UA"/>
              </w:rPr>
              <w:t>Обсяг реалізованої промислової продукції (товарів, послуг) без ПДВ, млн. грн.</w:t>
            </w:r>
          </w:p>
        </w:tc>
        <w:tc>
          <w:tcPr>
            <w:tcW w:w="149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rPr>
              <w:t>2715,8</w:t>
            </w:r>
          </w:p>
        </w:tc>
        <w:tc>
          <w:tcPr>
            <w:tcW w:w="166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rPr>
              <w:t>2800,0</w:t>
            </w:r>
          </w:p>
        </w:tc>
        <w:tc>
          <w:tcPr>
            <w:tcW w:w="1306"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3000,0</w:t>
            </w:r>
          </w:p>
        </w:tc>
        <w:tc>
          <w:tcPr>
            <w:tcW w:w="1266"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3200,0</w:t>
            </w:r>
          </w:p>
        </w:tc>
        <w:tc>
          <w:tcPr>
            <w:tcW w:w="127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3400,0</w:t>
            </w:r>
          </w:p>
        </w:tc>
      </w:tr>
      <w:tr w:rsidR="00A14E56" w:rsidRPr="00E3428A" w:rsidTr="00901C98">
        <w:trPr>
          <w:jc w:val="center"/>
        </w:trPr>
        <w:tc>
          <w:tcPr>
            <w:tcW w:w="2986" w:type="dxa"/>
            <w:shd w:val="clear" w:color="auto" w:fill="auto"/>
          </w:tcPr>
          <w:p w:rsidR="00E3428A" w:rsidRPr="00E3428A" w:rsidRDefault="00E3428A" w:rsidP="00DF3C6E">
            <w:pPr>
              <w:spacing w:after="0" w:line="240" w:lineRule="auto"/>
              <w:rPr>
                <w:rFonts w:ascii="Times New Roman" w:hAnsi="Times New Roman" w:cs="Times New Roman"/>
                <w:sz w:val="24"/>
                <w:szCs w:val="24"/>
                <w:lang w:val="uk-UA"/>
              </w:rPr>
            </w:pPr>
            <w:r w:rsidRPr="00E3428A">
              <w:rPr>
                <w:rFonts w:ascii="Times New Roman" w:hAnsi="Times New Roman" w:cs="Times New Roman"/>
                <w:sz w:val="24"/>
                <w:szCs w:val="24"/>
              </w:rPr>
              <w:t>Середньомісячна заробітна плата</w:t>
            </w:r>
            <w:r w:rsidRPr="00E3428A">
              <w:rPr>
                <w:rFonts w:ascii="Times New Roman" w:hAnsi="Times New Roman" w:cs="Times New Roman"/>
                <w:sz w:val="24"/>
                <w:szCs w:val="24"/>
                <w:lang w:val="uk-UA"/>
              </w:rPr>
              <w:t>, грн.</w:t>
            </w:r>
          </w:p>
        </w:tc>
        <w:tc>
          <w:tcPr>
            <w:tcW w:w="149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9200,0</w:t>
            </w:r>
          </w:p>
        </w:tc>
        <w:tc>
          <w:tcPr>
            <w:tcW w:w="166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10500,0</w:t>
            </w:r>
          </w:p>
        </w:tc>
        <w:tc>
          <w:tcPr>
            <w:tcW w:w="1306"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11700,0</w:t>
            </w:r>
          </w:p>
        </w:tc>
        <w:tc>
          <w:tcPr>
            <w:tcW w:w="1266"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13000,0</w:t>
            </w:r>
          </w:p>
        </w:tc>
        <w:tc>
          <w:tcPr>
            <w:tcW w:w="127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14300,0</w:t>
            </w:r>
          </w:p>
        </w:tc>
      </w:tr>
      <w:tr w:rsidR="00A14E56" w:rsidRPr="00E3428A" w:rsidTr="00901C98">
        <w:trPr>
          <w:jc w:val="center"/>
        </w:trPr>
        <w:tc>
          <w:tcPr>
            <w:tcW w:w="2986" w:type="dxa"/>
            <w:shd w:val="clear" w:color="auto" w:fill="auto"/>
          </w:tcPr>
          <w:p w:rsidR="00E3428A" w:rsidRPr="00E3428A" w:rsidRDefault="00E3428A" w:rsidP="00DF3C6E">
            <w:pPr>
              <w:spacing w:after="0" w:line="240" w:lineRule="auto"/>
              <w:rPr>
                <w:rFonts w:ascii="Times New Roman" w:hAnsi="Times New Roman" w:cs="Times New Roman"/>
                <w:sz w:val="24"/>
                <w:szCs w:val="24"/>
                <w:lang w:val="uk-UA"/>
              </w:rPr>
            </w:pPr>
            <w:r w:rsidRPr="00E3428A">
              <w:rPr>
                <w:rFonts w:ascii="Times New Roman" w:hAnsi="Times New Roman" w:cs="Times New Roman"/>
                <w:sz w:val="24"/>
                <w:szCs w:val="24"/>
              </w:rPr>
              <w:t>Заборгованість із виплати заробітної плати</w:t>
            </w:r>
            <w:r w:rsidRPr="00E3428A">
              <w:rPr>
                <w:rFonts w:ascii="Times New Roman" w:hAnsi="Times New Roman" w:cs="Times New Roman"/>
                <w:sz w:val="24"/>
                <w:szCs w:val="24"/>
                <w:lang w:val="uk-UA"/>
              </w:rPr>
              <w:t>, тис. грн.</w:t>
            </w:r>
          </w:p>
        </w:tc>
        <w:tc>
          <w:tcPr>
            <w:tcW w:w="149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0,0</w:t>
            </w:r>
          </w:p>
        </w:tc>
        <w:tc>
          <w:tcPr>
            <w:tcW w:w="166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0,0</w:t>
            </w:r>
          </w:p>
        </w:tc>
        <w:tc>
          <w:tcPr>
            <w:tcW w:w="1306"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0,0</w:t>
            </w:r>
          </w:p>
        </w:tc>
        <w:tc>
          <w:tcPr>
            <w:tcW w:w="1266"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0,0</w:t>
            </w:r>
          </w:p>
        </w:tc>
        <w:tc>
          <w:tcPr>
            <w:tcW w:w="127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0,0</w:t>
            </w:r>
          </w:p>
        </w:tc>
      </w:tr>
      <w:tr w:rsidR="00A14E56" w:rsidRPr="00E3428A" w:rsidTr="00901C98">
        <w:trPr>
          <w:jc w:val="center"/>
        </w:trPr>
        <w:tc>
          <w:tcPr>
            <w:tcW w:w="2986" w:type="dxa"/>
            <w:shd w:val="clear" w:color="auto" w:fill="auto"/>
          </w:tcPr>
          <w:p w:rsidR="00E3428A" w:rsidRPr="00E3428A" w:rsidRDefault="00E3428A" w:rsidP="00DF3C6E">
            <w:pPr>
              <w:spacing w:after="0" w:line="240" w:lineRule="auto"/>
              <w:rPr>
                <w:rFonts w:ascii="Times New Roman" w:hAnsi="Times New Roman" w:cs="Times New Roman"/>
                <w:sz w:val="24"/>
                <w:szCs w:val="24"/>
                <w:lang w:val="uk-UA"/>
              </w:rPr>
            </w:pPr>
            <w:r w:rsidRPr="00E3428A">
              <w:rPr>
                <w:rFonts w:ascii="Times New Roman" w:hAnsi="Times New Roman" w:cs="Times New Roman"/>
                <w:sz w:val="24"/>
                <w:szCs w:val="24"/>
                <w:lang w:val="uk-UA"/>
              </w:rPr>
              <w:t>Фінансовий результат від звичайної діяльності до оподаткування, млн. грн.</w:t>
            </w:r>
          </w:p>
        </w:tc>
        <w:tc>
          <w:tcPr>
            <w:tcW w:w="149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+135,1</w:t>
            </w:r>
          </w:p>
        </w:tc>
        <w:tc>
          <w:tcPr>
            <w:tcW w:w="166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+140,0</w:t>
            </w:r>
          </w:p>
        </w:tc>
        <w:tc>
          <w:tcPr>
            <w:tcW w:w="1306"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+145,0</w:t>
            </w:r>
          </w:p>
        </w:tc>
        <w:tc>
          <w:tcPr>
            <w:tcW w:w="1266"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+150,0</w:t>
            </w:r>
          </w:p>
        </w:tc>
        <w:tc>
          <w:tcPr>
            <w:tcW w:w="127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+155,0</w:t>
            </w:r>
          </w:p>
        </w:tc>
      </w:tr>
      <w:tr w:rsidR="00A14E56" w:rsidRPr="00E3428A" w:rsidTr="00901C98">
        <w:trPr>
          <w:jc w:val="center"/>
        </w:trPr>
        <w:tc>
          <w:tcPr>
            <w:tcW w:w="2986" w:type="dxa"/>
            <w:shd w:val="clear" w:color="auto" w:fill="auto"/>
          </w:tcPr>
          <w:p w:rsidR="00E3428A" w:rsidRPr="00E3428A" w:rsidRDefault="00E3428A" w:rsidP="00DF3C6E">
            <w:pPr>
              <w:spacing w:after="0" w:line="240" w:lineRule="auto"/>
              <w:rPr>
                <w:rFonts w:ascii="Times New Roman" w:hAnsi="Times New Roman" w:cs="Times New Roman"/>
                <w:sz w:val="24"/>
                <w:szCs w:val="24"/>
                <w:lang w:val="uk-UA"/>
              </w:rPr>
            </w:pPr>
            <w:r w:rsidRPr="00E3428A">
              <w:rPr>
                <w:rFonts w:ascii="Times New Roman" w:hAnsi="Times New Roman" w:cs="Times New Roman"/>
                <w:sz w:val="24"/>
                <w:szCs w:val="24"/>
                <w:lang w:val="uk-UA"/>
              </w:rPr>
              <w:t>Чисельність наявного населення, осіб</w:t>
            </w:r>
          </w:p>
        </w:tc>
        <w:tc>
          <w:tcPr>
            <w:tcW w:w="149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68,5</w:t>
            </w:r>
          </w:p>
        </w:tc>
        <w:tc>
          <w:tcPr>
            <w:tcW w:w="166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67,9</w:t>
            </w:r>
          </w:p>
        </w:tc>
        <w:tc>
          <w:tcPr>
            <w:tcW w:w="1306"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67,3</w:t>
            </w:r>
          </w:p>
        </w:tc>
        <w:tc>
          <w:tcPr>
            <w:tcW w:w="1266"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66,8</w:t>
            </w:r>
          </w:p>
        </w:tc>
        <w:tc>
          <w:tcPr>
            <w:tcW w:w="1275" w:type="dxa"/>
            <w:shd w:val="clear" w:color="auto" w:fill="auto"/>
          </w:tcPr>
          <w:p w:rsidR="00E3428A" w:rsidRPr="00E3428A" w:rsidRDefault="00E3428A" w:rsidP="00DF3C6E">
            <w:pPr>
              <w:spacing w:after="0" w:line="240" w:lineRule="auto"/>
              <w:jc w:val="center"/>
              <w:rPr>
                <w:rFonts w:ascii="Times New Roman" w:hAnsi="Times New Roman" w:cs="Times New Roman"/>
                <w:sz w:val="24"/>
                <w:szCs w:val="24"/>
                <w:lang w:val="uk-UA"/>
              </w:rPr>
            </w:pPr>
            <w:r w:rsidRPr="00E3428A">
              <w:rPr>
                <w:rFonts w:ascii="Times New Roman" w:hAnsi="Times New Roman" w:cs="Times New Roman"/>
                <w:sz w:val="24"/>
                <w:szCs w:val="24"/>
                <w:lang w:val="uk-UA"/>
              </w:rPr>
              <w:t>66,4</w:t>
            </w:r>
          </w:p>
        </w:tc>
      </w:tr>
      <w:tr w:rsidR="00E64B92" w:rsidRPr="00E3428A" w:rsidTr="00901C98">
        <w:trPr>
          <w:jc w:val="center"/>
        </w:trPr>
        <w:tc>
          <w:tcPr>
            <w:tcW w:w="2986" w:type="dxa"/>
            <w:shd w:val="clear" w:color="auto" w:fill="auto"/>
          </w:tcPr>
          <w:p w:rsidR="003A5B35" w:rsidRDefault="00E64B92" w:rsidP="00DF3C6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Індекс споживчих цін (ІСЦ):</w:t>
            </w:r>
          </w:p>
          <w:p w:rsidR="00E64B92" w:rsidRPr="00E3428A" w:rsidRDefault="00E64B92" w:rsidP="00DF3C6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грудень до грудня попередного року, відсотки</w:t>
            </w:r>
          </w:p>
        </w:tc>
        <w:tc>
          <w:tcPr>
            <w:tcW w:w="1495" w:type="dxa"/>
            <w:shd w:val="clear" w:color="auto" w:fill="auto"/>
          </w:tcPr>
          <w:p w:rsidR="00E64B92" w:rsidRPr="00E3428A"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105,0</w:t>
            </w:r>
          </w:p>
        </w:tc>
        <w:tc>
          <w:tcPr>
            <w:tcW w:w="1665" w:type="dxa"/>
            <w:shd w:val="clear" w:color="auto" w:fill="auto"/>
          </w:tcPr>
          <w:p w:rsidR="00E64B92" w:rsidRPr="00E3428A"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108,9</w:t>
            </w:r>
          </w:p>
        </w:tc>
        <w:tc>
          <w:tcPr>
            <w:tcW w:w="1306" w:type="dxa"/>
            <w:shd w:val="clear" w:color="auto" w:fill="auto"/>
          </w:tcPr>
          <w:p w:rsidR="00E64B92" w:rsidRPr="00E3428A"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106,2</w:t>
            </w:r>
          </w:p>
        </w:tc>
        <w:tc>
          <w:tcPr>
            <w:tcW w:w="1266" w:type="dxa"/>
            <w:shd w:val="clear" w:color="auto" w:fill="auto"/>
          </w:tcPr>
          <w:p w:rsidR="00E64B92" w:rsidRPr="00E3428A"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105,3</w:t>
            </w:r>
          </w:p>
        </w:tc>
        <w:tc>
          <w:tcPr>
            <w:tcW w:w="1275" w:type="dxa"/>
            <w:shd w:val="clear" w:color="auto" w:fill="auto"/>
          </w:tcPr>
          <w:p w:rsidR="00E64B92" w:rsidRPr="00E3428A"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105,0</w:t>
            </w:r>
          </w:p>
        </w:tc>
      </w:tr>
      <w:tr w:rsidR="00E64B92" w:rsidRPr="00E3428A" w:rsidTr="00901C98">
        <w:trPr>
          <w:jc w:val="center"/>
        </w:trPr>
        <w:tc>
          <w:tcPr>
            <w:tcW w:w="2986" w:type="dxa"/>
            <w:shd w:val="clear" w:color="auto" w:fill="auto"/>
          </w:tcPr>
          <w:p w:rsidR="003A5B35" w:rsidRDefault="00E64B92" w:rsidP="00DF3C6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Індекс цін виробників (ІЦВ):</w:t>
            </w:r>
          </w:p>
          <w:p w:rsidR="00E64B92" w:rsidRPr="00E3428A" w:rsidRDefault="00E64B92" w:rsidP="00DF3C6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грудень до грудня попередного року, відсотки</w:t>
            </w:r>
          </w:p>
        </w:tc>
        <w:tc>
          <w:tcPr>
            <w:tcW w:w="1495" w:type="dxa"/>
            <w:shd w:val="clear" w:color="auto" w:fill="auto"/>
          </w:tcPr>
          <w:p w:rsidR="00E64B92"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114,5</w:t>
            </w:r>
          </w:p>
        </w:tc>
        <w:tc>
          <w:tcPr>
            <w:tcW w:w="1665" w:type="dxa"/>
            <w:shd w:val="clear" w:color="auto" w:fill="auto"/>
          </w:tcPr>
          <w:p w:rsidR="00E64B92"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117,0</w:t>
            </w:r>
          </w:p>
        </w:tc>
        <w:tc>
          <w:tcPr>
            <w:tcW w:w="1306" w:type="dxa"/>
            <w:shd w:val="clear" w:color="auto" w:fill="auto"/>
          </w:tcPr>
          <w:p w:rsidR="00E64B92"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107,8</w:t>
            </w:r>
          </w:p>
        </w:tc>
        <w:tc>
          <w:tcPr>
            <w:tcW w:w="1266" w:type="dxa"/>
            <w:shd w:val="clear" w:color="auto" w:fill="auto"/>
          </w:tcPr>
          <w:p w:rsidR="00E64B92"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106,2</w:t>
            </w:r>
          </w:p>
        </w:tc>
        <w:tc>
          <w:tcPr>
            <w:tcW w:w="1275" w:type="dxa"/>
            <w:shd w:val="clear" w:color="auto" w:fill="auto"/>
          </w:tcPr>
          <w:p w:rsidR="00E64B92"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105,7</w:t>
            </w:r>
          </w:p>
        </w:tc>
      </w:tr>
      <w:tr w:rsidR="00E64B92" w:rsidRPr="00E3428A" w:rsidTr="00901C98">
        <w:trPr>
          <w:jc w:val="center"/>
        </w:trPr>
        <w:tc>
          <w:tcPr>
            <w:tcW w:w="2986" w:type="dxa"/>
            <w:shd w:val="clear" w:color="auto" w:fill="auto"/>
          </w:tcPr>
          <w:p w:rsidR="003A5B35" w:rsidRDefault="00E64B92" w:rsidP="00DF3C6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Облікова ставка Національного банку України, </w:t>
            </w:r>
          </w:p>
          <w:p w:rsidR="00E64B92" w:rsidRDefault="00E64B92" w:rsidP="00DF3C6E">
            <w:pPr>
              <w:spacing w:after="0" w:line="240" w:lineRule="auto"/>
              <w:rPr>
                <w:rFonts w:ascii="Times New Roman" w:hAnsi="Times New Roman" w:cs="Times New Roman"/>
                <w:sz w:val="24"/>
                <w:szCs w:val="24"/>
                <w:lang w:val="uk-UA"/>
              </w:rPr>
            </w:pPr>
            <w:r w:rsidRPr="00E64B92">
              <w:rPr>
                <w:rFonts w:ascii="Times New Roman" w:hAnsi="Times New Roman" w:cs="Times New Roman"/>
                <w:i/>
                <w:sz w:val="24"/>
                <w:szCs w:val="24"/>
                <w:lang w:val="uk-UA"/>
              </w:rPr>
              <w:t>відсотків річних на кінець періоду</w:t>
            </w:r>
          </w:p>
        </w:tc>
        <w:tc>
          <w:tcPr>
            <w:tcW w:w="1495" w:type="dxa"/>
            <w:shd w:val="clear" w:color="auto" w:fill="auto"/>
          </w:tcPr>
          <w:p w:rsidR="00E64B92"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6,0</w:t>
            </w:r>
          </w:p>
        </w:tc>
        <w:tc>
          <w:tcPr>
            <w:tcW w:w="1665" w:type="dxa"/>
            <w:shd w:val="clear" w:color="auto" w:fill="auto"/>
          </w:tcPr>
          <w:p w:rsidR="00E64B92"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7,5</w:t>
            </w:r>
          </w:p>
        </w:tc>
        <w:tc>
          <w:tcPr>
            <w:tcW w:w="1306" w:type="dxa"/>
            <w:shd w:val="clear" w:color="auto" w:fill="auto"/>
          </w:tcPr>
          <w:p w:rsidR="00E64B92"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7,0</w:t>
            </w:r>
          </w:p>
        </w:tc>
        <w:tc>
          <w:tcPr>
            <w:tcW w:w="1266" w:type="dxa"/>
            <w:shd w:val="clear" w:color="auto" w:fill="auto"/>
          </w:tcPr>
          <w:p w:rsidR="00E64B92"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5,5</w:t>
            </w:r>
          </w:p>
        </w:tc>
        <w:tc>
          <w:tcPr>
            <w:tcW w:w="1275" w:type="dxa"/>
            <w:shd w:val="clear" w:color="auto" w:fill="auto"/>
          </w:tcPr>
          <w:p w:rsidR="00E64B92" w:rsidRDefault="00E64B92" w:rsidP="00DF3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5,2</w:t>
            </w:r>
          </w:p>
        </w:tc>
      </w:tr>
      <w:tr w:rsidR="00E64B92" w:rsidRPr="00E3428A" w:rsidTr="00901C98">
        <w:trPr>
          <w:jc w:val="center"/>
        </w:trPr>
        <w:tc>
          <w:tcPr>
            <w:tcW w:w="2986" w:type="dxa"/>
            <w:shd w:val="clear" w:color="auto" w:fill="auto"/>
          </w:tcPr>
          <w:p w:rsidR="003A5B35" w:rsidRDefault="00E64B92" w:rsidP="00DF3C6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Обмінний курс гривні до долара США,</w:t>
            </w:r>
          </w:p>
          <w:p w:rsidR="00E64B92" w:rsidRDefault="00E64B92" w:rsidP="003A5B35">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E64B92">
              <w:rPr>
                <w:rFonts w:ascii="Times New Roman" w:hAnsi="Times New Roman" w:cs="Times New Roman"/>
                <w:i/>
                <w:sz w:val="24"/>
                <w:szCs w:val="24"/>
                <w:lang w:val="uk-UA"/>
              </w:rPr>
              <w:t>гривень за долар США в середньому за період</w:t>
            </w:r>
          </w:p>
        </w:tc>
        <w:tc>
          <w:tcPr>
            <w:tcW w:w="1495" w:type="dxa"/>
            <w:shd w:val="clear" w:color="auto" w:fill="auto"/>
          </w:tcPr>
          <w:p w:rsidR="00E64B92" w:rsidRDefault="00E64B92" w:rsidP="003A5B35">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27,0</w:t>
            </w:r>
          </w:p>
        </w:tc>
        <w:tc>
          <w:tcPr>
            <w:tcW w:w="1665" w:type="dxa"/>
            <w:shd w:val="clear" w:color="auto" w:fill="auto"/>
          </w:tcPr>
          <w:p w:rsidR="00E64B92" w:rsidRDefault="00E64B92" w:rsidP="003A5B35">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28,0</w:t>
            </w:r>
          </w:p>
        </w:tc>
        <w:tc>
          <w:tcPr>
            <w:tcW w:w="1306" w:type="dxa"/>
            <w:shd w:val="clear" w:color="auto" w:fill="auto"/>
          </w:tcPr>
          <w:p w:rsidR="00E64B92" w:rsidRDefault="00E64B92" w:rsidP="003A5B35">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28,6</w:t>
            </w:r>
          </w:p>
        </w:tc>
        <w:tc>
          <w:tcPr>
            <w:tcW w:w="1266" w:type="dxa"/>
            <w:shd w:val="clear" w:color="auto" w:fill="auto"/>
          </w:tcPr>
          <w:p w:rsidR="00E64B92" w:rsidRDefault="00E64B92" w:rsidP="003A5B35">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28,8</w:t>
            </w:r>
          </w:p>
        </w:tc>
        <w:tc>
          <w:tcPr>
            <w:tcW w:w="1275" w:type="dxa"/>
            <w:shd w:val="clear" w:color="auto" w:fill="auto"/>
          </w:tcPr>
          <w:p w:rsidR="00E64B92" w:rsidRDefault="00E64B92" w:rsidP="003A5B35">
            <w:pPr>
              <w:spacing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29,2</w:t>
            </w:r>
          </w:p>
        </w:tc>
      </w:tr>
    </w:tbl>
    <w:p w:rsidR="00E3428A" w:rsidRPr="00E3428A" w:rsidRDefault="00E3428A" w:rsidP="00C645ED">
      <w:pPr>
        <w:spacing w:after="0" w:line="228" w:lineRule="auto"/>
        <w:ind w:firstLine="539"/>
        <w:jc w:val="center"/>
        <w:rPr>
          <w:rFonts w:ascii="Times New Roman" w:hAnsi="Times New Roman" w:cs="Times New Roman"/>
          <w:b/>
          <w:sz w:val="24"/>
          <w:szCs w:val="24"/>
          <w:lang w:val="uk-UA"/>
        </w:rPr>
      </w:pPr>
    </w:p>
    <w:p w:rsidR="00DC4506" w:rsidRDefault="00DC4506" w:rsidP="00946DD1">
      <w:pPr>
        <w:spacing w:line="228" w:lineRule="auto"/>
        <w:ind w:firstLine="539"/>
        <w:jc w:val="both"/>
        <w:rPr>
          <w:rFonts w:ascii="Times New Roman" w:hAnsi="Times New Roman" w:cs="Times New Roman"/>
          <w:sz w:val="28"/>
          <w:szCs w:val="28"/>
          <w:lang w:val="uk-UA"/>
        </w:rPr>
      </w:pPr>
    </w:p>
    <w:p w:rsidR="00711BEC" w:rsidRPr="00365354" w:rsidRDefault="00946DD1" w:rsidP="00711BEC">
      <w:pPr>
        <w:spacing w:after="0" w:line="360" w:lineRule="auto"/>
        <w:ind w:firstLine="539"/>
        <w:jc w:val="center"/>
        <w:rPr>
          <w:rFonts w:ascii="Times New Roman" w:hAnsi="Times New Roman" w:cs="Times New Roman"/>
          <w:b/>
          <w:sz w:val="28"/>
          <w:szCs w:val="28"/>
          <w:lang w:val="uk-UA"/>
        </w:rPr>
      </w:pPr>
      <w:r w:rsidRPr="00365354">
        <w:rPr>
          <w:rFonts w:ascii="Times New Roman" w:hAnsi="Times New Roman" w:cs="Times New Roman"/>
          <w:b/>
          <w:sz w:val="28"/>
          <w:szCs w:val="28"/>
          <w:lang w:val="uk-UA"/>
        </w:rPr>
        <w:lastRenderedPageBreak/>
        <w:t xml:space="preserve">Інформація щодо земельного фонду </w:t>
      </w:r>
    </w:p>
    <w:p w:rsidR="00946DD1" w:rsidRPr="00365354" w:rsidRDefault="00946DD1" w:rsidP="00711BEC">
      <w:pPr>
        <w:spacing w:after="0" w:line="360" w:lineRule="auto"/>
        <w:ind w:firstLine="539"/>
        <w:jc w:val="center"/>
        <w:rPr>
          <w:rFonts w:ascii="Times New Roman" w:hAnsi="Times New Roman" w:cs="Times New Roman"/>
          <w:b/>
          <w:sz w:val="28"/>
          <w:szCs w:val="28"/>
          <w:lang w:val="uk-UA"/>
        </w:rPr>
      </w:pPr>
      <w:r w:rsidRPr="00365354">
        <w:rPr>
          <w:rFonts w:ascii="Times New Roman" w:hAnsi="Times New Roman" w:cs="Times New Roman"/>
          <w:b/>
          <w:sz w:val="28"/>
          <w:szCs w:val="28"/>
          <w:lang w:val="uk-UA"/>
        </w:rPr>
        <w:t>Лубенської міської територіальної громади.</w:t>
      </w:r>
    </w:p>
    <w:tbl>
      <w:tblPr>
        <w:tblStyle w:val="a4"/>
        <w:tblW w:w="8966" w:type="dxa"/>
        <w:tblLook w:val="04A0" w:firstRow="1" w:lastRow="0" w:firstColumn="1" w:lastColumn="0" w:noHBand="0" w:noVBand="1"/>
      </w:tblPr>
      <w:tblGrid>
        <w:gridCol w:w="5353"/>
        <w:gridCol w:w="2126"/>
        <w:gridCol w:w="1487"/>
      </w:tblGrid>
      <w:tr w:rsidR="00946DD1" w:rsidTr="00946DD1">
        <w:tc>
          <w:tcPr>
            <w:tcW w:w="5353" w:type="dxa"/>
          </w:tcPr>
          <w:p w:rsidR="00946DD1" w:rsidRDefault="00946DD1"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Найменування показника</w:t>
            </w:r>
          </w:p>
        </w:tc>
        <w:tc>
          <w:tcPr>
            <w:tcW w:w="2126" w:type="dxa"/>
          </w:tcPr>
          <w:p w:rsidR="00946DD1" w:rsidRDefault="00946DD1"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Площа, га</w:t>
            </w:r>
          </w:p>
        </w:tc>
        <w:tc>
          <w:tcPr>
            <w:tcW w:w="1487" w:type="dxa"/>
          </w:tcPr>
          <w:p w:rsidR="00946DD1" w:rsidRDefault="00946DD1" w:rsidP="00711BEC">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946DD1" w:rsidTr="00946DD1">
        <w:tc>
          <w:tcPr>
            <w:tcW w:w="5353" w:type="dxa"/>
          </w:tcPr>
          <w:p w:rsidR="00946DD1" w:rsidRDefault="00946DD1"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Сільськогосподарські землі, у тому числі:</w:t>
            </w:r>
          </w:p>
        </w:tc>
        <w:tc>
          <w:tcPr>
            <w:tcW w:w="2126"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80</w:t>
            </w:r>
            <w:r w:rsidR="00F90681">
              <w:rPr>
                <w:rFonts w:ascii="Times New Roman" w:hAnsi="Times New Roman" w:cs="Times New Roman"/>
                <w:sz w:val="28"/>
                <w:szCs w:val="28"/>
                <w:lang w:val="uk-UA"/>
              </w:rPr>
              <w:t xml:space="preserve"> </w:t>
            </w:r>
            <w:r>
              <w:rPr>
                <w:rFonts w:ascii="Times New Roman" w:hAnsi="Times New Roman" w:cs="Times New Roman"/>
                <w:sz w:val="28"/>
                <w:szCs w:val="28"/>
                <w:lang w:val="uk-UA"/>
              </w:rPr>
              <w:t>192,898</w:t>
            </w:r>
          </w:p>
        </w:tc>
        <w:tc>
          <w:tcPr>
            <w:tcW w:w="1487"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78,0</w:t>
            </w:r>
          </w:p>
        </w:tc>
      </w:tr>
      <w:tr w:rsidR="00946DD1" w:rsidTr="00946DD1">
        <w:tc>
          <w:tcPr>
            <w:tcW w:w="5353" w:type="dxa"/>
          </w:tcPr>
          <w:p w:rsidR="00946DD1" w:rsidRDefault="00946DD1"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рілля</w:t>
            </w:r>
          </w:p>
        </w:tc>
        <w:tc>
          <w:tcPr>
            <w:tcW w:w="2126"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61</w:t>
            </w:r>
            <w:r w:rsidR="00F90681">
              <w:rPr>
                <w:rFonts w:ascii="Times New Roman" w:hAnsi="Times New Roman" w:cs="Times New Roman"/>
                <w:sz w:val="28"/>
                <w:szCs w:val="28"/>
                <w:lang w:val="uk-UA"/>
              </w:rPr>
              <w:t xml:space="preserve"> </w:t>
            </w:r>
            <w:r>
              <w:rPr>
                <w:rFonts w:ascii="Times New Roman" w:hAnsi="Times New Roman" w:cs="Times New Roman"/>
                <w:sz w:val="28"/>
                <w:szCs w:val="28"/>
                <w:lang w:val="uk-UA"/>
              </w:rPr>
              <w:t>961,4537</w:t>
            </w:r>
          </w:p>
        </w:tc>
        <w:tc>
          <w:tcPr>
            <w:tcW w:w="1487"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60</w:t>
            </w:r>
          </w:p>
        </w:tc>
      </w:tr>
      <w:tr w:rsidR="00946DD1" w:rsidTr="00946DD1">
        <w:tc>
          <w:tcPr>
            <w:tcW w:w="5353" w:type="dxa"/>
          </w:tcPr>
          <w:p w:rsidR="00946DD1" w:rsidRPr="00946DD1" w:rsidRDefault="00946DD1" w:rsidP="00946DD1">
            <w:pPr>
              <w:spacing w:line="228" w:lineRule="auto"/>
              <w:jc w:val="both"/>
              <w:rPr>
                <w:rFonts w:ascii="Times New Roman" w:hAnsi="Times New Roman" w:cs="Times New Roman"/>
                <w:i/>
                <w:sz w:val="28"/>
                <w:szCs w:val="28"/>
                <w:lang w:val="uk-UA"/>
              </w:rPr>
            </w:pPr>
            <w:r w:rsidRPr="00946DD1">
              <w:rPr>
                <w:rFonts w:ascii="Times New Roman" w:hAnsi="Times New Roman" w:cs="Times New Roman"/>
                <w:i/>
                <w:sz w:val="28"/>
                <w:szCs w:val="28"/>
                <w:lang w:val="uk-UA"/>
              </w:rPr>
              <w:t>багаторічні насадження</w:t>
            </w:r>
          </w:p>
        </w:tc>
        <w:tc>
          <w:tcPr>
            <w:tcW w:w="2126"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443,4528</w:t>
            </w:r>
          </w:p>
        </w:tc>
        <w:tc>
          <w:tcPr>
            <w:tcW w:w="1487"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0,42</w:t>
            </w:r>
          </w:p>
        </w:tc>
      </w:tr>
      <w:tr w:rsidR="00946DD1" w:rsidTr="00946DD1">
        <w:tc>
          <w:tcPr>
            <w:tcW w:w="5353" w:type="dxa"/>
          </w:tcPr>
          <w:p w:rsidR="00946DD1" w:rsidRPr="00946DD1" w:rsidRDefault="00946DD1" w:rsidP="00946DD1">
            <w:pPr>
              <w:spacing w:line="228" w:lineRule="auto"/>
              <w:jc w:val="both"/>
              <w:rPr>
                <w:rFonts w:ascii="Times New Roman" w:hAnsi="Times New Roman" w:cs="Times New Roman"/>
                <w:i/>
                <w:sz w:val="28"/>
                <w:szCs w:val="28"/>
                <w:lang w:val="uk-UA"/>
              </w:rPr>
            </w:pPr>
            <w:r w:rsidRPr="00946DD1">
              <w:rPr>
                <w:rFonts w:ascii="Times New Roman" w:hAnsi="Times New Roman" w:cs="Times New Roman"/>
                <w:i/>
                <w:sz w:val="28"/>
                <w:szCs w:val="28"/>
                <w:lang w:val="uk-UA"/>
              </w:rPr>
              <w:t>сіножаті</w:t>
            </w:r>
          </w:p>
        </w:tc>
        <w:tc>
          <w:tcPr>
            <w:tcW w:w="2126"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6</w:t>
            </w:r>
            <w:r w:rsidR="00F90681">
              <w:rPr>
                <w:rFonts w:ascii="Times New Roman" w:hAnsi="Times New Roman" w:cs="Times New Roman"/>
                <w:i/>
                <w:sz w:val="28"/>
                <w:szCs w:val="28"/>
                <w:lang w:val="uk-UA"/>
              </w:rPr>
              <w:t xml:space="preserve"> </w:t>
            </w:r>
            <w:r w:rsidRPr="00946DD1">
              <w:rPr>
                <w:rFonts w:ascii="Times New Roman" w:hAnsi="Times New Roman" w:cs="Times New Roman"/>
                <w:i/>
                <w:sz w:val="28"/>
                <w:szCs w:val="28"/>
                <w:lang w:val="uk-UA"/>
              </w:rPr>
              <w:t>811,554</w:t>
            </w:r>
          </w:p>
        </w:tc>
        <w:tc>
          <w:tcPr>
            <w:tcW w:w="1487"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6,6</w:t>
            </w:r>
          </w:p>
        </w:tc>
      </w:tr>
      <w:tr w:rsidR="00946DD1" w:rsidTr="00946DD1">
        <w:tc>
          <w:tcPr>
            <w:tcW w:w="5353" w:type="dxa"/>
          </w:tcPr>
          <w:p w:rsidR="00946DD1" w:rsidRPr="00946DD1" w:rsidRDefault="00946DD1" w:rsidP="00946DD1">
            <w:pPr>
              <w:spacing w:line="228" w:lineRule="auto"/>
              <w:jc w:val="both"/>
              <w:rPr>
                <w:rFonts w:ascii="Times New Roman" w:hAnsi="Times New Roman" w:cs="Times New Roman"/>
                <w:i/>
                <w:sz w:val="28"/>
                <w:szCs w:val="28"/>
                <w:lang w:val="uk-UA"/>
              </w:rPr>
            </w:pPr>
            <w:r w:rsidRPr="00946DD1">
              <w:rPr>
                <w:rFonts w:ascii="Times New Roman" w:hAnsi="Times New Roman" w:cs="Times New Roman"/>
                <w:i/>
                <w:sz w:val="28"/>
                <w:szCs w:val="28"/>
                <w:lang w:val="uk-UA"/>
              </w:rPr>
              <w:t>пасовища</w:t>
            </w:r>
          </w:p>
        </w:tc>
        <w:tc>
          <w:tcPr>
            <w:tcW w:w="2126"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7</w:t>
            </w:r>
            <w:r w:rsidR="00F90681">
              <w:rPr>
                <w:rFonts w:ascii="Times New Roman" w:hAnsi="Times New Roman" w:cs="Times New Roman"/>
                <w:i/>
                <w:sz w:val="28"/>
                <w:szCs w:val="28"/>
                <w:lang w:val="uk-UA"/>
              </w:rPr>
              <w:t xml:space="preserve"> </w:t>
            </w:r>
            <w:r w:rsidRPr="00946DD1">
              <w:rPr>
                <w:rFonts w:ascii="Times New Roman" w:hAnsi="Times New Roman" w:cs="Times New Roman"/>
                <w:i/>
                <w:sz w:val="28"/>
                <w:szCs w:val="28"/>
                <w:lang w:val="uk-UA"/>
              </w:rPr>
              <w:t>982,603</w:t>
            </w:r>
          </w:p>
        </w:tc>
        <w:tc>
          <w:tcPr>
            <w:tcW w:w="1487"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7,7</w:t>
            </w:r>
          </w:p>
        </w:tc>
      </w:tr>
      <w:tr w:rsidR="00946DD1" w:rsidTr="00946DD1">
        <w:tc>
          <w:tcPr>
            <w:tcW w:w="5353" w:type="dxa"/>
          </w:tcPr>
          <w:p w:rsidR="00946DD1" w:rsidRDefault="00946DD1" w:rsidP="00711BEC">
            <w:pPr>
              <w:spacing w:line="228"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Землі </w:t>
            </w:r>
            <w:r w:rsidR="00711BEC">
              <w:rPr>
                <w:rFonts w:ascii="Times New Roman" w:hAnsi="Times New Roman" w:cs="Times New Roman"/>
                <w:sz w:val="28"/>
                <w:szCs w:val="28"/>
                <w:lang w:val="uk-UA"/>
              </w:rPr>
              <w:t xml:space="preserve">  </w:t>
            </w:r>
            <w:r>
              <w:rPr>
                <w:rFonts w:ascii="Times New Roman" w:hAnsi="Times New Roman" w:cs="Times New Roman"/>
                <w:sz w:val="28"/>
                <w:szCs w:val="28"/>
                <w:lang w:val="uk-UA"/>
              </w:rPr>
              <w:t>сільськогосподарського призначення, у тому числі:</w:t>
            </w:r>
          </w:p>
        </w:tc>
        <w:tc>
          <w:tcPr>
            <w:tcW w:w="2126"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12</w:t>
            </w:r>
            <w:r w:rsidR="00F90681">
              <w:rPr>
                <w:rFonts w:ascii="Times New Roman" w:hAnsi="Times New Roman" w:cs="Times New Roman"/>
                <w:sz w:val="28"/>
                <w:szCs w:val="28"/>
                <w:lang w:val="uk-UA"/>
              </w:rPr>
              <w:t xml:space="preserve"> </w:t>
            </w:r>
            <w:r>
              <w:rPr>
                <w:rFonts w:ascii="Times New Roman" w:hAnsi="Times New Roman" w:cs="Times New Roman"/>
                <w:sz w:val="28"/>
                <w:szCs w:val="28"/>
                <w:lang w:val="uk-UA"/>
              </w:rPr>
              <w:t>915,81</w:t>
            </w:r>
          </w:p>
        </w:tc>
        <w:tc>
          <w:tcPr>
            <w:tcW w:w="1487"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12,5</w:t>
            </w:r>
          </w:p>
        </w:tc>
      </w:tr>
      <w:tr w:rsidR="00946DD1" w:rsidTr="00946DD1">
        <w:tc>
          <w:tcPr>
            <w:tcW w:w="5353" w:type="dxa"/>
          </w:tcPr>
          <w:p w:rsidR="00946DD1" w:rsidRPr="00946DD1" w:rsidRDefault="00946DD1" w:rsidP="00946DD1">
            <w:pPr>
              <w:spacing w:line="228" w:lineRule="auto"/>
              <w:jc w:val="both"/>
              <w:rPr>
                <w:rFonts w:ascii="Times New Roman" w:hAnsi="Times New Roman" w:cs="Times New Roman"/>
                <w:i/>
                <w:sz w:val="28"/>
                <w:szCs w:val="28"/>
                <w:lang w:val="uk-UA"/>
              </w:rPr>
            </w:pPr>
            <w:r w:rsidRPr="00946DD1">
              <w:rPr>
                <w:rFonts w:ascii="Times New Roman" w:hAnsi="Times New Roman" w:cs="Times New Roman"/>
                <w:i/>
                <w:sz w:val="28"/>
                <w:szCs w:val="28"/>
                <w:lang w:val="uk-UA"/>
              </w:rPr>
              <w:t>лісові землі</w:t>
            </w:r>
          </w:p>
        </w:tc>
        <w:tc>
          <w:tcPr>
            <w:tcW w:w="2126"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8</w:t>
            </w:r>
            <w:r w:rsidR="00F90681">
              <w:rPr>
                <w:rFonts w:ascii="Times New Roman" w:hAnsi="Times New Roman" w:cs="Times New Roman"/>
                <w:i/>
                <w:sz w:val="28"/>
                <w:szCs w:val="28"/>
                <w:lang w:val="uk-UA"/>
              </w:rPr>
              <w:t xml:space="preserve"> </w:t>
            </w:r>
            <w:r w:rsidRPr="00946DD1">
              <w:rPr>
                <w:rFonts w:ascii="Times New Roman" w:hAnsi="Times New Roman" w:cs="Times New Roman"/>
                <w:i/>
                <w:sz w:val="28"/>
                <w:szCs w:val="28"/>
                <w:lang w:val="uk-UA"/>
              </w:rPr>
              <w:t>976,031</w:t>
            </w:r>
          </w:p>
        </w:tc>
        <w:tc>
          <w:tcPr>
            <w:tcW w:w="1487"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8,7</w:t>
            </w:r>
          </w:p>
        </w:tc>
      </w:tr>
      <w:tr w:rsidR="00946DD1" w:rsidTr="00946DD1">
        <w:tc>
          <w:tcPr>
            <w:tcW w:w="5353" w:type="dxa"/>
          </w:tcPr>
          <w:p w:rsidR="00946DD1" w:rsidRPr="00946DD1" w:rsidRDefault="00946DD1" w:rsidP="00946DD1">
            <w:pPr>
              <w:spacing w:line="228" w:lineRule="auto"/>
              <w:jc w:val="both"/>
              <w:rPr>
                <w:rFonts w:ascii="Times New Roman" w:hAnsi="Times New Roman" w:cs="Times New Roman"/>
                <w:i/>
                <w:sz w:val="28"/>
                <w:szCs w:val="28"/>
                <w:lang w:val="uk-UA"/>
              </w:rPr>
            </w:pPr>
            <w:r w:rsidRPr="00946DD1">
              <w:rPr>
                <w:rFonts w:ascii="Times New Roman" w:hAnsi="Times New Roman" w:cs="Times New Roman"/>
                <w:i/>
                <w:sz w:val="28"/>
                <w:szCs w:val="28"/>
                <w:lang w:val="uk-UA"/>
              </w:rPr>
              <w:t>чагарники</w:t>
            </w:r>
          </w:p>
        </w:tc>
        <w:tc>
          <w:tcPr>
            <w:tcW w:w="2126"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780,6286</w:t>
            </w:r>
          </w:p>
        </w:tc>
        <w:tc>
          <w:tcPr>
            <w:tcW w:w="1487"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0,8</w:t>
            </w:r>
          </w:p>
        </w:tc>
      </w:tr>
      <w:tr w:rsidR="00946DD1" w:rsidTr="00946DD1">
        <w:tc>
          <w:tcPr>
            <w:tcW w:w="5353" w:type="dxa"/>
          </w:tcPr>
          <w:p w:rsidR="00946DD1" w:rsidRDefault="00946DD1"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Забудовані землі, у томі числі:</w:t>
            </w:r>
          </w:p>
        </w:tc>
        <w:tc>
          <w:tcPr>
            <w:tcW w:w="2126"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w:t>
            </w:r>
            <w:r w:rsidR="00F90681">
              <w:rPr>
                <w:rFonts w:ascii="Times New Roman" w:hAnsi="Times New Roman" w:cs="Times New Roman"/>
                <w:sz w:val="28"/>
                <w:szCs w:val="28"/>
                <w:lang w:val="uk-UA"/>
              </w:rPr>
              <w:t xml:space="preserve"> </w:t>
            </w:r>
            <w:r>
              <w:rPr>
                <w:rFonts w:ascii="Times New Roman" w:hAnsi="Times New Roman" w:cs="Times New Roman"/>
                <w:sz w:val="28"/>
                <w:szCs w:val="28"/>
                <w:lang w:val="uk-UA"/>
              </w:rPr>
              <w:t>750,019</w:t>
            </w:r>
          </w:p>
        </w:tc>
        <w:tc>
          <w:tcPr>
            <w:tcW w:w="1487"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5,6</w:t>
            </w:r>
          </w:p>
        </w:tc>
      </w:tr>
      <w:tr w:rsidR="00946DD1" w:rsidTr="00946DD1">
        <w:tc>
          <w:tcPr>
            <w:tcW w:w="5353" w:type="dxa"/>
          </w:tcPr>
          <w:p w:rsidR="00946DD1" w:rsidRPr="00946DD1" w:rsidRDefault="00946DD1" w:rsidP="00946DD1">
            <w:pPr>
              <w:spacing w:line="228" w:lineRule="auto"/>
              <w:jc w:val="both"/>
              <w:rPr>
                <w:rFonts w:ascii="Times New Roman" w:hAnsi="Times New Roman" w:cs="Times New Roman"/>
                <w:i/>
                <w:sz w:val="28"/>
                <w:szCs w:val="28"/>
                <w:lang w:val="uk-UA"/>
              </w:rPr>
            </w:pPr>
            <w:r w:rsidRPr="00946DD1">
              <w:rPr>
                <w:rFonts w:ascii="Times New Roman" w:hAnsi="Times New Roman" w:cs="Times New Roman"/>
                <w:i/>
                <w:sz w:val="28"/>
                <w:szCs w:val="28"/>
                <w:lang w:val="uk-UA"/>
              </w:rPr>
              <w:t>землі житлової та громадської забудови</w:t>
            </w:r>
          </w:p>
        </w:tc>
        <w:tc>
          <w:tcPr>
            <w:tcW w:w="2126"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1</w:t>
            </w:r>
            <w:r w:rsidR="00F90681">
              <w:rPr>
                <w:rFonts w:ascii="Times New Roman" w:hAnsi="Times New Roman" w:cs="Times New Roman"/>
                <w:i/>
                <w:sz w:val="28"/>
                <w:szCs w:val="28"/>
                <w:lang w:val="uk-UA"/>
              </w:rPr>
              <w:t xml:space="preserve"> </w:t>
            </w:r>
            <w:r w:rsidRPr="00946DD1">
              <w:rPr>
                <w:rFonts w:ascii="Times New Roman" w:hAnsi="Times New Roman" w:cs="Times New Roman"/>
                <w:i/>
                <w:sz w:val="28"/>
                <w:szCs w:val="28"/>
                <w:lang w:val="uk-UA"/>
              </w:rPr>
              <w:t>907,382</w:t>
            </w:r>
          </w:p>
        </w:tc>
        <w:tc>
          <w:tcPr>
            <w:tcW w:w="1487"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0,8</w:t>
            </w:r>
          </w:p>
        </w:tc>
      </w:tr>
      <w:tr w:rsidR="00946DD1" w:rsidTr="00946DD1">
        <w:tc>
          <w:tcPr>
            <w:tcW w:w="5353" w:type="dxa"/>
          </w:tcPr>
          <w:p w:rsidR="00946DD1" w:rsidRPr="00946DD1" w:rsidRDefault="00946DD1" w:rsidP="00946DD1">
            <w:pPr>
              <w:spacing w:line="228" w:lineRule="auto"/>
              <w:jc w:val="both"/>
              <w:rPr>
                <w:rFonts w:ascii="Times New Roman" w:hAnsi="Times New Roman" w:cs="Times New Roman"/>
                <w:i/>
                <w:sz w:val="28"/>
                <w:szCs w:val="28"/>
                <w:lang w:val="uk-UA"/>
              </w:rPr>
            </w:pPr>
            <w:r w:rsidRPr="00946DD1">
              <w:rPr>
                <w:rFonts w:ascii="Times New Roman" w:hAnsi="Times New Roman" w:cs="Times New Roman"/>
                <w:i/>
                <w:sz w:val="28"/>
                <w:szCs w:val="28"/>
                <w:lang w:val="uk-UA"/>
              </w:rPr>
              <w:t>землі промисловості, транспорту, зв’язку, енергетики, оборони та іншого значення</w:t>
            </w:r>
          </w:p>
        </w:tc>
        <w:tc>
          <w:tcPr>
            <w:tcW w:w="2126"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2</w:t>
            </w:r>
            <w:r w:rsidR="00F90681">
              <w:rPr>
                <w:rFonts w:ascii="Times New Roman" w:hAnsi="Times New Roman" w:cs="Times New Roman"/>
                <w:i/>
                <w:sz w:val="28"/>
                <w:szCs w:val="28"/>
                <w:lang w:val="uk-UA"/>
              </w:rPr>
              <w:t xml:space="preserve"> </w:t>
            </w:r>
            <w:r w:rsidRPr="00946DD1">
              <w:rPr>
                <w:rFonts w:ascii="Times New Roman" w:hAnsi="Times New Roman" w:cs="Times New Roman"/>
                <w:i/>
                <w:sz w:val="28"/>
                <w:szCs w:val="28"/>
                <w:lang w:val="uk-UA"/>
              </w:rPr>
              <w:t>154,749</w:t>
            </w:r>
          </w:p>
        </w:tc>
        <w:tc>
          <w:tcPr>
            <w:tcW w:w="1487" w:type="dxa"/>
          </w:tcPr>
          <w:p w:rsidR="00946DD1" w:rsidRPr="00946DD1" w:rsidRDefault="00946DD1" w:rsidP="00F90681">
            <w:pPr>
              <w:spacing w:line="228" w:lineRule="auto"/>
              <w:jc w:val="center"/>
              <w:rPr>
                <w:rFonts w:ascii="Times New Roman" w:hAnsi="Times New Roman" w:cs="Times New Roman"/>
                <w:i/>
                <w:sz w:val="28"/>
                <w:szCs w:val="28"/>
                <w:lang w:val="uk-UA"/>
              </w:rPr>
            </w:pPr>
            <w:r w:rsidRPr="00946DD1">
              <w:rPr>
                <w:rFonts w:ascii="Times New Roman" w:hAnsi="Times New Roman" w:cs="Times New Roman"/>
                <w:i/>
                <w:sz w:val="28"/>
                <w:szCs w:val="28"/>
                <w:lang w:val="uk-UA"/>
              </w:rPr>
              <w:t>2,1</w:t>
            </w:r>
          </w:p>
        </w:tc>
      </w:tr>
      <w:tr w:rsidR="00946DD1" w:rsidTr="00946DD1">
        <w:tc>
          <w:tcPr>
            <w:tcW w:w="5353" w:type="dxa"/>
          </w:tcPr>
          <w:p w:rsidR="00946DD1" w:rsidRDefault="00946DD1"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Заповідні землі</w:t>
            </w:r>
          </w:p>
        </w:tc>
        <w:tc>
          <w:tcPr>
            <w:tcW w:w="2126"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197,7</w:t>
            </w:r>
          </w:p>
        </w:tc>
        <w:tc>
          <w:tcPr>
            <w:tcW w:w="1487"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0,2</w:t>
            </w:r>
          </w:p>
        </w:tc>
      </w:tr>
      <w:tr w:rsidR="00946DD1" w:rsidTr="00946DD1">
        <w:tc>
          <w:tcPr>
            <w:tcW w:w="5353" w:type="dxa"/>
          </w:tcPr>
          <w:p w:rsidR="00946DD1" w:rsidRDefault="00946DD1"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Землі водного фонду</w:t>
            </w:r>
          </w:p>
        </w:tc>
        <w:tc>
          <w:tcPr>
            <w:tcW w:w="2126"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w:t>
            </w:r>
            <w:r w:rsidR="00F90681">
              <w:rPr>
                <w:rFonts w:ascii="Times New Roman" w:hAnsi="Times New Roman" w:cs="Times New Roman"/>
                <w:sz w:val="28"/>
                <w:szCs w:val="28"/>
                <w:lang w:val="uk-UA"/>
              </w:rPr>
              <w:t xml:space="preserve"> </w:t>
            </w:r>
            <w:r>
              <w:rPr>
                <w:rFonts w:ascii="Times New Roman" w:hAnsi="Times New Roman" w:cs="Times New Roman"/>
                <w:sz w:val="28"/>
                <w:szCs w:val="28"/>
                <w:lang w:val="uk-UA"/>
              </w:rPr>
              <w:t>267,472</w:t>
            </w:r>
          </w:p>
        </w:tc>
        <w:tc>
          <w:tcPr>
            <w:tcW w:w="1487"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2,2</w:t>
            </w:r>
          </w:p>
        </w:tc>
      </w:tr>
      <w:tr w:rsidR="00946DD1" w:rsidTr="00946DD1">
        <w:tc>
          <w:tcPr>
            <w:tcW w:w="5353" w:type="dxa"/>
          </w:tcPr>
          <w:p w:rsidR="00946DD1" w:rsidRDefault="00946DD1"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Землі історико-культурного призначення</w:t>
            </w:r>
          </w:p>
        </w:tc>
        <w:tc>
          <w:tcPr>
            <w:tcW w:w="2126"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26,6139</w:t>
            </w:r>
          </w:p>
        </w:tc>
        <w:tc>
          <w:tcPr>
            <w:tcW w:w="1487" w:type="dxa"/>
          </w:tcPr>
          <w:p w:rsidR="00946DD1" w:rsidRDefault="00946DD1"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0,02</w:t>
            </w:r>
          </w:p>
        </w:tc>
      </w:tr>
      <w:tr w:rsidR="00946DD1" w:rsidTr="00946DD1">
        <w:tc>
          <w:tcPr>
            <w:tcW w:w="5353" w:type="dxa"/>
          </w:tcPr>
          <w:p w:rsidR="00946DD1" w:rsidRDefault="00414D4E"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Всього землі</w:t>
            </w:r>
          </w:p>
        </w:tc>
        <w:tc>
          <w:tcPr>
            <w:tcW w:w="2126" w:type="dxa"/>
          </w:tcPr>
          <w:p w:rsidR="00946DD1" w:rsidRDefault="00414D4E"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103</w:t>
            </w:r>
            <w:r w:rsidR="00F90681">
              <w:rPr>
                <w:rFonts w:ascii="Times New Roman" w:hAnsi="Times New Roman" w:cs="Times New Roman"/>
                <w:sz w:val="28"/>
                <w:szCs w:val="28"/>
                <w:lang w:val="uk-UA"/>
              </w:rPr>
              <w:t xml:space="preserve"> </w:t>
            </w:r>
            <w:r>
              <w:rPr>
                <w:rFonts w:ascii="Times New Roman" w:hAnsi="Times New Roman" w:cs="Times New Roman"/>
                <w:sz w:val="28"/>
                <w:szCs w:val="28"/>
                <w:lang w:val="uk-UA"/>
              </w:rPr>
              <w:t>166,80</w:t>
            </w:r>
          </w:p>
        </w:tc>
        <w:tc>
          <w:tcPr>
            <w:tcW w:w="1487" w:type="dxa"/>
          </w:tcPr>
          <w:p w:rsidR="00946DD1" w:rsidRDefault="00711BEC" w:rsidP="00F90681">
            <w:pPr>
              <w:spacing w:line="228"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100</w:t>
            </w:r>
          </w:p>
        </w:tc>
      </w:tr>
    </w:tbl>
    <w:p w:rsidR="00414D4E" w:rsidRDefault="00F90681" w:rsidP="00946DD1">
      <w:pPr>
        <w:spacing w:line="228" w:lineRule="auto"/>
        <w:ind w:firstLine="539"/>
        <w:jc w:val="both"/>
        <w:rPr>
          <w:rFonts w:ascii="Times New Roman" w:hAnsi="Times New Roman" w:cs="Times New Roman"/>
          <w:sz w:val="28"/>
          <w:szCs w:val="28"/>
          <w:lang w:val="uk-UA"/>
        </w:rPr>
      </w:pPr>
      <w:r>
        <w:rPr>
          <w:rFonts w:ascii="Times New Roman" w:hAnsi="Times New Roman" w:cs="Times New Roman"/>
          <w:sz w:val="28"/>
          <w:szCs w:val="28"/>
          <w:vertAlign w:val="superscript"/>
          <w:lang w:val="uk-UA"/>
        </w:rPr>
        <w:t xml:space="preserve">                                                                                                                  *</w:t>
      </w:r>
      <w:r>
        <w:rPr>
          <w:rFonts w:ascii="Times New Roman" w:hAnsi="Times New Roman" w:cs="Times New Roman"/>
          <w:sz w:val="28"/>
          <w:szCs w:val="28"/>
          <w:lang w:val="uk-UA"/>
        </w:rPr>
        <w:t>1 м</w:t>
      </w:r>
      <w:r>
        <w:rPr>
          <w:rFonts w:ascii="Times New Roman" w:hAnsi="Times New Roman" w:cs="Times New Roman"/>
          <w:sz w:val="28"/>
          <w:szCs w:val="28"/>
          <w:vertAlign w:val="subscript"/>
          <w:lang w:val="uk-UA"/>
        </w:rPr>
        <w:t>2</w:t>
      </w:r>
      <w:r>
        <w:rPr>
          <w:rFonts w:ascii="Times New Roman" w:hAnsi="Times New Roman" w:cs="Times New Roman"/>
          <w:sz w:val="28"/>
          <w:szCs w:val="28"/>
          <w:lang w:val="uk-UA"/>
        </w:rPr>
        <w:t xml:space="preserve"> =0,0001 га</w:t>
      </w:r>
    </w:p>
    <w:p w:rsidR="00DF3C6E" w:rsidRDefault="00DF3C6E" w:rsidP="001159C9">
      <w:pPr>
        <w:spacing w:after="0" w:line="360" w:lineRule="auto"/>
        <w:ind w:firstLine="539"/>
        <w:jc w:val="both"/>
        <w:rPr>
          <w:rFonts w:ascii="Times New Roman" w:hAnsi="Times New Roman" w:cs="Times New Roman"/>
          <w:sz w:val="28"/>
          <w:szCs w:val="28"/>
          <w:lang w:val="uk-UA"/>
        </w:rPr>
      </w:pPr>
    </w:p>
    <w:p w:rsidR="00711BEC" w:rsidRPr="00365354" w:rsidRDefault="003533EB" w:rsidP="00711BEC">
      <w:pPr>
        <w:spacing w:after="0" w:line="360" w:lineRule="auto"/>
        <w:ind w:firstLine="539"/>
        <w:jc w:val="center"/>
        <w:rPr>
          <w:rFonts w:ascii="Times New Roman" w:hAnsi="Times New Roman" w:cs="Times New Roman"/>
          <w:b/>
          <w:sz w:val="28"/>
          <w:szCs w:val="28"/>
          <w:lang w:val="uk-UA"/>
        </w:rPr>
      </w:pPr>
      <w:r w:rsidRPr="00365354">
        <w:rPr>
          <w:rFonts w:ascii="Times New Roman" w:hAnsi="Times New Roman" w:cs="Times New Roman"/>
          <w:b/>
          <w:sz w:val="28"/>
          <w:szCs w:val="28"/>
          <w:lang w:val="uk-UA"/>
        </w:rPr>
        <w:t>Бюджетоутворюючі підприємства</w:t>
      </w:r>
    </w:p>
    <w:p w:rsidR="003533EB" w:rsidRPr="00365354" w:rsidRDefault="003533EB" w:rsidP="00711BEC">
      <w:pPr>
        <w:spacing w:after="0" w:line="360" w:lineRule="auto"/>
        <w:ind w:firstLine="539"/>
        <w:jc w:val="center"/>
        <w:rPr>
          <w:rFonts w:ascii="Times New Roman" w:hAnsi="Times New Roman" w:cs="Times New Roman"/>
          <w:b/>
          <w:sz w:val="28"/>
          <w:szCs w:val="28"/>
          <w:lang w:val="uk-UA"/>
        </w:rPr>
      </w:pPr>
      <w:r w:rsidRPr="00365354">
        <w:rPr>
          <w:rFonts w:ascii="Times New Roman" w:hAnsi="Times New Roman" w:cs="Times New Roman"/>
          <w:b/>
          <w:sz w:val="28"/>
          <w:szCs w:val="28"/>
          <w:lang w:val="uk-UA"/>
        </w:rPr>
        <w:t>Лубенської міської територіальної громади станом на 01.07.2021 р.</w:t>
      </w:r>
    </w:p>
    <w:tbl>
      <w:tblPr>
        <w:tblStyle w:val="a4"/>
        <w:tblW w:w="9180" w:type="dxa"/>
        <w:tblLook w:val="04A0" w:firstRow="1" w:lastRow="0" w:firstColumn="1" w:lastColumn="0" w:noHBand="0" w:noVBand="1"/>
      </w:tblPr>
      <w:tblGrid>
        <w:gridCol w:w="1951"/>
        <w:gridCol w:w="4820"/>
        <w:gridCol w:w="2409"/>
      </w:tblGrid>
      <w:tr w:rsidR="003533EB" w:rsidTr="003533EB">
        <w:tc>
          <w:tcPr>
            <w:tcW w:w="1951" w:type="dxa"/>
          </w:tcPr>
          <w:p w:rsidR="003533EB" w:rsidRDefault="003533EB"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Код</w:t>
            </w:r>
          </w:p>
        </w:tc>
        <w:tc>
          <w:tcPr>
            <w:tcW w:w="4820" w:type="dxa"/>
          </w:tcPr>
          <w:p w:rsidR="003533EB" w:rsidRDefault="003533EB"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Назва платника</w:t>
            </w:r>
          </w:p>
        </w:tc>
        <w:tc>
          <w:tcPr>
            <w:tcW w:w="2409" w:type="dxa"/>
          </w:tcPr>
          <w:p w:rsidR="003533EB" w:rsidRDefault="003533EB"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Питома вага надходжень до загального фонду Лубенської ТГ</w:t>
            </w:r>
          </w:p>
        </w:tc>
      </w:tr>
      <w:tr w:rsidR="003533EB" w:rsidTr="003533EB">
        <w:tc>
          <w:tcPr>
            <w:tcW w:w="1951" w:type="dxa"/>
          </w:tcPr>
          <w:p w:rsidR="003533EB" w:rsidRDefault="003533EB"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1999388</w:t>
            </w:r>
          </w:p>
        </w:tc>
        <w:tc>
          <w:tcPr>
            <w:tcW w:w="4820" w:type="dxa"/>
          </w:tcPr>
          <w:p w:rsidR="003533EB" w:rsidRDefault="003533EB"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КП</w:t>
            </w:r>
            <w:r w:rsidR="00DC4506">
              <w:rPr>
                <w:rFonts w:ascii="Times New Roman" w:hAnsi="Times New Roman" w:cs="Times New Roman"/>
                <w:sz w:val="28"/>
                <w:szCs w:val="28"/>
                <w:lang w:val="uk-UA"/>
              </w:rPr>
              <w:t xml:space="preserve"> «ЛЛІЛ» ЛМР</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2,7</w:t>
            </w:r>
          </w:p>
        </w:tc>
      </w:tr>
      <w:tr w:rsidR="003533EB" w:rsidTr="003533EB">
        <w:tc>
          <w:tcPr>
            <w:tcW w:w="1951"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37504303</w:t>
            </w:r>
          </w:p>
        </w:tc>
        <w:tc>
          <w:tcPr>
            <w:tcW w:w="4820"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ПП «Лубнимаш»</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2,5</w:t>
            </w:r>
          </w:p>
        </w:tc>
      </w:tr>
      <w:tr w:rsidR="003533EB" w:rsidTr="003533EB">
        <w:tc>
          <w:tcPr>
            <w:tcW w:w="1951"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42795490</w:t>
            </w:r>
          </w:p>
        </w:tc>
        <w:tc>
          <w:tcPr>
            <w:tcW w:w="4820"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ТОВ «Оператор ГТС України»</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2,4</w:t>
            </w:r>
          </w:p>
        </w:tc>
      </w:tr>
      <w:tr w:rsidR="003533EB" w:rsidTr="003533EB">
        <w:tc>
          <w:tcPr>
            <w:tcW w:w="1951"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39522429</w:t>
            </w:r>
          </w:p>
        </w:tc>
        <w:tc>
          <w:tcPr>
            <w:tcW w:w="4820"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ФГ «Слолан»</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2,0</w:t>
            </w:r>
          </w:p>
        </w:tc>
      </w:tr>
      <w:tr w:rsidR="003533EB" w:rsidTr="003533EB">
        <w:tc>
          <w:tcPr>
            <w:tcW w:w="1951"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480951</w:t>
            </w:r>
          </w:p>
        </w:tc>
        <w:tc>
          <w:tcPr>
            <w:tcW w:w="4820"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АТ «Лубнифарм»</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1,8</w:t>
            </w:r>
          </w:p>
        </w:tc>
      </w:tr>
      <w:tr w:rsidR="003533EB" w:rsidTr="003533EB">
        <w:tc>
          <w:tcPr>
            <w:tcW w:w="1951" w:type="dxa"/>
          </w:tcPr>
          <w:p w:rsidR="003533EB" w:rsidRDefault="00DC4506" w:rsidP="00DC4506">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5524713 </w:t>
            </w:r>
          </w:p>
        </w:tc>
        <w:tc>
          <w:tcPr>
            <w:tcW w:w="4820"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АТ «Лубнигаз»</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1,7</w:t>
            </w:r>
          </w:p>
        </w:tc>
      </w:tr>
      <w:tr w:rsidR="003533EB" w:rsidTr="003533EB">
        <w:tc>
          <w:tcPr>
            <w:tcW w:w="1951"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25207363</w:t>
            </w:r>
          </w:p>
        </w:tc>
        <w:tc>
          <w:tcPr>
            <w:tcW w:w="4820"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СТОВ «Придніпровський край»</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1,6</w:t>
            </w:r>
          </w:p>
        </w:tc>
      </w:tr>
      <w:tr w:rsidR="003533EB" w:rsidTr="003533EB">
        <w:tc>
          <w:tcPr>
            <w:tcW w:w="1951"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30487219</w:t>
            </w:r>
          </w:p>
        </w:tc>
        <w:tc>
          <w:tcPr>
            <w:tcW w:w="4820"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ТОВ «АТБ-Маркет»</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1,5</w:t>
            </w:r>
          </w:p>
        </w:tc>
      </w:tr>
      <w:tr w:rsidR="003533EB" w:rsidTr="003533EB">
        <w:tc>
          <w:tcPr>
            <w:tcW w:w="1951"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32027065</w:t>
            </w:r>
          </w:p>
        </w:tc>
        <w:tc>
          <w:tcPr>
            <w:tcW w:w="4820"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ТОВ «Хвиля»</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1,4</w:t>
            </w:r>
          </w:p>
        </w:tc>
      </w:tr>
      <w:tr w:rsidR="003533EB" w:rsidTr="003533EB">
        <w:tc>
          <w:tcPr>
            <w:tcW w:w="1951"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25717153</w:t>
            </w:r>
          </w:p>
        </w:tc>
        <w:tc>
          <w:tcPr>
            <w:tcW w:w="4820"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Лубенська філія Акціонерного товариства «Полтаваобленерго»</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1,4</w:t>
            </w:r>
          </w:p>
        </w:tc>
      </w:tr>
      <w:tr w:rsidR="003533EB" w:rsidTr="003533EB">
        <w:tc>
          <w:tcPr>
            <w:tcW w:w="1951"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38503012</w:t>
            </w:r>
          </w:p>
        </w:tc>
        <w:tc>
          <w:tcPr>
            <w:tcW w:w="4820"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КП «Полтавський обласний центр ЕМД та МК ПОР»</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w:t>
            </w:r>
          </w:p>
        </w:tc>
      </w:tr>
      <w:tr w:rsidR="003533EB" w:rsidTr="003533EB">
        <w:tc>
          <w:tcPr>
            <w:tcW w:w="1951"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446813</w:t>
            </w:r>
          </w:p>
        </w:tc>
        <w:tc>
          <w:tcPr>
            <w:tcW w:w="4820"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ТОВ «Лубенський молочний завод»</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w:t>
            </w:r>
          </w:p>
        </w:tc>
      </w:tr>
      <w:tr w:rsidR="003533EB" w:rsidTr="003533EB">
        <w:tc>
          <w:tcPr>
            <w:tcW w:w="1951"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4057439</w:t>
            </w:r>
          </w:p>
        </w:tc>
        <w:tc>
          <w:tcPr>
            <w:tcW w:w="4820"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Виконком Лубенської міськради</w:t>
            </w:r>
          </w:p>
        </w:tc>
        <w:tc>
          <w:tcPr>
            <w:tcW w:w="2409" w:type="dxa"/>
          </w:tcPr>
          <w:p w:rsidR="003533EB" w:rsidRDefault="00DC4506" w:rsidP="00946DD1">
            <w:pPr>
              <w:spacing w:line="228"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w:t>
            </w:r>
          </w:p>
        </w:tc>
      </w:tr>
    </w:tbl>
    <w:p w:rsidR="003533EB" w:rsidRPr="00F90681" w:rsidRDefault="003533EB" w:rsidP="00946DD1">
      <w:pPr>
        <w:spacing w:line="228" w:lineRule="auto"/>
        <w:ind w:firstLine="539"/>
        <w:jc w:val="both"/>
        <w:rPr>
          <w:rFonts w:ascii="Times New Roman" w:hAnsi="Times New Roman" w:cs="Times New Roman"/>
          <w:sz w:val="28"/>
          <w:szCs w:val="28"/>
          <w:lang w:val="uk-UA"/>
        </w:rPr>
      </w:pPr>
    </w:p>
    <w:p w:rsidR="00C645ED" w:rsidRPr="00C645ED" w:rsidRDefault="00C645ED" w:rsidP="00C645ED">
      <w:pPr>
        <w:spacing w:line="228" w:lineRule="auto"/>
        <w:ind w:firstLine="539"/>
        <w:jc w:val="center"/>
        <w:rPr>
          <w:rFonts w:ascii="Times New Roman" w:hAnsi="Times New Roman" w:cs="Times New Roman"/>
          <w:b/>
          <w:sz w:val="28"/>
          <w:szCs w:val="28"/>
          <w:lang w:val="uk-UA"/>
        </w:rPr>
      </w:pPr>
      <w:r w:rsidRPr="00C645ED">
        <w:rPr>
          <w:rFonts w:ascii="Times New Roman" w:hAnsi="Times New Roman" w:cs="Times New Roman"/>
          <w:b/>
          <w:sz w:val="28"/>
          <w:szCs w:val="28"/>
          <w:lang w:val="uk-UA"/>
        </w:rPr>
        <w:t>ІІІ. Загальні показники бюджету</w:t>
      </w:r>
    </w:p>
    <w:p w:rsidR="00810DCC" w:rsidRDefault="00810DCC" w:rsidP="00F331B7">
      <w:pPr>
        <w:spacing w:after="0" w:line="360" w:lineRule="auto"/>
        <w:ind w:firstLine="708"/>
        <w:jc w:val="both"/>
        <w:rPr>
          <w:rFonts w:ascii="Times New Roman" w:hAnsi="Times New Roman" w:cs="Times New Roman"/>
          <w:sz w:val="28"/>
          <w:szCs w:val="28"/>
          <w:lang w:val="uk-UA"/>
        </w:rPr>
      </w:pPr>
      <w:r w:rsidRPr="00A949A5">
        <w:rPr>
          <w:rFonts w:ascii="Times New Roman" w:hAnsi="Times New Roman" w:cs="Times New Roman"/>
          <w:sz w:val="28"/>
          <w:szCs w:val="28"/>
          <w:lang w:val="uk-UA"/>
        </w:rPr>
        <w:t xml:space="preserve">Прогноз бюджету </w:t>
      </w:r>
      <w:r w:rsidR="00E64B92">
        <w:rPr>
          <w:rFonts w:ascii="Times New Roman" w:hAnsi="Times New Roman" w:cs="Times New Roman"/>
          <w:sz w:val="28"/>
          <w:szCs w:val="28"/>
          <w:lang w:val="uk-UA"/>
        </w:rPr>
        <w:t xml:space="preserve">Лубенської міської територіальної громади </w:t>
      </w:r>
      <w:r w:rsidRPr="00A949A5">
        <w:rPr>
          <w:rFonts w:ascii="Times New Roman" w:hAnsi="Times New Roman" w:cs="Times New Roman"/>
          <w:sz w:val="28"/>
          <w:szCs w:val="28"/>
          <w:lang w:val="uk-UA"/>
        </w:rPr>
        <w:t xml:space="preserve">на </w:t>
      </w:r>
      <w:r w:rsidR="00365354">
        <w:rPr>
          <w:rFonts w:ascii="Times New Roman" w:hAnsi="Times New Roman" w:cs="Times New Roman"/>
          <w:sz w:val="28"/>
          <w:szCs w:val="28"/>
          <w:lang w:val="uk-UA"/>
        </w:rPr>
        <w:t xml:space="preserve">   </w:t>
      </w:r>
      <w:r w:rsidRPr="00A949A5">
        <w:rPr>
          <w:rFonts w:ascii="Times New Roman" w:hAnsi="Times New Roman" w:cs="Times New Roman"/>
          <w:sz w:val="28"/>
          <w:szCs w:val="28"/>
          <w:lang w:val="uk-UA"/>
        </w:rPr>
        <w:t xml:space="preserve">2022-2024 роки включає прогнозні показники бюджету громади за основними видами доходів, фінансування, видатків і кредитування, а також прогнозні показники за бюджетними програмами, які забезпечують протягом декількох років виконання інвестиційних проєктів. </w:t>
      </w:r>
    </w:p>
    <w:p w:rsidR="00810DCC" w:rsidRDefault="00810DCC" w:rsidP="00F331B7">
      <w:pPr>
        <w:spacing w:after="0" w:line="360" w:lineRule="auto"/>
        <w:ind w:firstLine="708"/>
        <w:jc w:val="both"/>
        <w:rPr>
          <w:rFonts w:ascii="Times New Roman" w:hAnsi="Times New Roman" w:cs="Times New Roman"/>
          <w:sz w:val="28"/>
          <w:szCs w:val="28"/>
          <w:lang w:val="uk-UA"/>
        </w:rPr>
      </w:pPr>
      <w:r w:rsidRPr="00A949A5">
        <w:rPr>
          <w:rFonts w:ascii="Times New Roman" w:hAnsi="Times New Roman" w:cs="Times New Roman"/>
          <w:sz w:val="28"/>
          <w:szCs w:val="28"/>
          <w:lang w:val="uk-UA"/>
        </w:rPr>
        <w:t xml:space="preserve">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проєкту бюджету міської територіальної громади на 2022 рік. </w:t>
      </w:r>
      <w:r>
        <w:rPr>
          <w:rFonts w:ascii="Times New Roman" w:hAnsi="Times New Roman" w:cs="Times New Roman"/>
          <w:sz w:val="28"/>
          <w:szCs w:val="28"/>
          <w:lang w:val="uk-UA"/>
        </w:rPr>
        <w:t xml:space="preserve">     </w:t>
      </w:r>
    </w:p>
    <w:p w:rsidR="00550010" w:rsidRPr="00550010" w:rsidRDefault="00550010" w:rsidP="00F331B7">
      <w:pPr>
        <w:tabs>
          <w:tab w:val="left" w:pos="567"/>
          <w:tab w:val="left" w:pos="709"/>
        </w:tabs>
        <w:spacing w:after="0" w:line="360" w:lineRule="auto"/>
        <w:ind w:firstLine="539"/>
        <w:jc w:val="both"/>
        <w:rPr>
          <w:rFonts w:ascii="Times New Roman" w:hAnsi="Times New Roman" w:cs="Times New Roman"/>
          <w:sz w:val="28"/>
          <w:szCs w:val="28"/>
        </w:rPr>
      </w:pPr>
      <w:r w:rsidRPr="00550010">
        <w:rPr>
          <w:rFonts w:ascii="Times New Roman" w:hAnsi="Times New Roman" w:cs="Times New Roman"/>
          <w:sz w:val="28"/>
          <w:szCs w:val="28"/>
        </w:rPr>
        <w:t xml:space="preserve">При </w:t>
      </w:r>
      <w:r w:rsidR="00C645ED">
        <w:rPr>
          <w:rFonts w:ascii="Times New Roman" w:hAnsi="Times New Roman" w:cs="Times New Roman"/>
          <w:sz w:val="28"/>
          <w:szCs w:val="28"/>
          <w:lang w:val="uk-UA"/>
        </w:rPr>
        <w:t xml:space="preserve">середньостроковому </w:t>
      </w:r>
      <w:r w:rsidRPr="00550010">
        <w:rPr>
          <w:rFonts w:ascii="Times New Roman" w:hAnsi="Times New Roman" w:cs="Times New Roman"/>
          <w:sz w:val="28"/>
          <w:szCs w:val="28"/>
        </w:rPr>
        <w:t xml:space="preserve">прогнозуванні </w:t>
      </w:r>
      <w:r w:rsidR="00C645ED">
        <w:rPr>
          <w:rFonts w:ascii="Times New Roman" w:hAnsi="Times New Roman" w:cs="Times New Roman"/>
          <w:sz w:val="28"/>
          <w:szCs w:val="28"/>
          <w:lang w:val="uk-UA"/>
        </w:rPr>
        <w:t>бюджету територіальної громади на 2022-2024 року</w:t>
      </w:r>
      <w:r w:rsidRPr="00550010">
        <w:rPr>
          <w:rFonts w:ascii="Times New Roman" w:hAnsi="Times New Roman" w:cs="Times New Roman"/>
          <w:sz w:val="28"/>
          <w:szCs w:val="28"/>
        </w:rPr>
        <w:t xml:space="preserve"> було враховано:</w:t>
      </w:r>
    </w:p>
    <w:p w:rsidR="00550010" w:rsidRPr="00550010" w:rsidRDefault="00550010" w:rsidP="00F331B7">
      <w:pPr>
        <w:tabs>
          <w:tab w:val="left" w:pos="567"/>
          <w:tab w:val="left" w:pos="709"/>
        </w:tabs>
        <w:spacing w:after="0" w:line="360" w:lineRule="auto"/>
        <w:ind w:firstLine="539"/>
        <w:jc w:val="both"/>
        <w:rPr>
          <w:rFonts w:ascii="Times New Roman" w:hAnsi="Times New Roman" w:cs="Times New Roman"/>
          <w:iCs/>
          <w:sz w:val="28"/>
          <w:szCs w:val="28"/>
        </w:rPr>
      </w:pPr>
      <w:r w:rsidRPr="00550010">
        <w:rPr>
          <w:rFonts w:ascii="Times New Roman" w:hAnsi="Times New Roman" w:cs="Times New Roman"/>
          <w:sz w:val="28"/>
          <w:szCs w:val="28"/>
        </w:rPr>
        <w:tab/>
        <w:t>-</w:t>
      </w:r>
      <w:r w:rsidRPr="00550010">
        <w:rPr>
          <w:rFonts w:ascii="Times New Roman" w:hAnsi="Times New Roman" w:cs="Times New Roman"/>
          <w:i/>
          <w:iCs/>
          <w:sz w:val="28"/>
          <w:szCs w:val="28"/>
        </w:rPr>
        <w:t xml:space="preserve"> </w:t>
      </w:r>
      <w:r w:rsidRPr="00550010">
        <w:rPr>
          <w:rFonts w:ascii="Times New Roman" w:hAnsi="Times New Roman" w:cs="Times New Roman"/>
          <w:iCs/>
          <w:sz w:val="28"/>
          <w:szCs w:val="28"/>
        </w:rPr>
        <w:t xml:space="preserve">фактичне виконання дохідної </w:t>
      </w:r>
      <w:r w:rsidR="00FB45C7">
        <w:rPr>
          <w:rFonts w:ascii="Times New Roman" w:hAnsi="Times New Roman" w:cs="Times New Roman"/>
          <w:iCs/>
          <w:sz w:val="28"/>
          <w:szCs w:val="28"/>
          <w:lang w:val="uk-UA"/>
        </w:rPr>
        <w:t xml:space="preserve">та видаткової </w:t>
      </w:r>
      <w:r w:rsidRPr="00550010">
        <w:rPr>
          <w:rFonts w:ascii="Times New Roman" w:hAnsi="Times New Roman" w:cs="Times New Roman"/>
          <w:iCs/>
          <w:sz w:val="28"/>
          <w:szCs w:val="28"/>
        </w:rPr>
        <w:t>частини   бюджет</w:t>
      </w:r>
      <w:r w:rsidR="00FB45C7">
        <w:rPr>
          <w:rFonts w:ascii="Times New Roman" w:hAnsi="Times New Roman" w:cs="Times New Roman"/>
          <w:iCs/>
          <w:sz w:val="28"/>
          <w:szCs w:val="28"/>
          <w:lang w:val="uk-UA"/>
        </w:rPr>
        <w:t>у</w:t>
      </w:r>
      <w:r w:rsidRPr="00550010">
        <w:rPr>
          <w:rFonts w:ascii="Times New Roman" w:hAnsi="Times New Roman" w:cs="Times New Roman"/>
          <w:iCs/>
          <w:sz w:val="28"/>
          <w:szCs w:val="28"/>
        </w:rPr>
        <w:t xml:space="preserve"> за результатами  20</w:t>
      </w:r>
      <w:r w:rsidR="00FB45C7">
        <w:rPr>
          <w:rFonts w:ascii="Times New Roman" w:hAnsi="Times New Roman" w:cs="Times New Roman"/>
          <w:iCs/>
          <w:sz w:val="28"/>
          <w:szCs w:val="28"/>
          <w:lang w:val="uk-UA"/>
        </w:rPr>
        <w:t>20</w:t>
      </w:r>
      <w:r w:rsidRPr="00550010">
        <w:rPr>
          <w:rFonts w:ascii="Times New Roman" w:hAnsi="Times New Roman" w:cs="Times New Roman"/>
          <w:iCs/>
          <w:sz w:val="28"/>
          <w:szCs w:val="28"/>
        </w:rPr>
        <w:t xml:space="preserve"> року</w:t>
      </w:r>
      <w:r w:rsidR="00FB45C7">
        <w:rPr>
          <w:rFonts w:ascii="Times New Roman" w:hAnsi="Times New Roman" w:cs="Times New Roman"/>
          <w:iCs/>
          <w:sz w:val="28"/>
          <w:szCs w:val="28"/>
        </w:rPr>
        <w:t xml:space="preserve"> та фактичне виконання за </w:t>
      </w:r>
      <w:r w:rsidR="00FB45C7">
        <w:rPr>
          <w:rFonts w:ascii="Times New Roman" w:hAnsi="Times New Roman" w:cs="Times New Roman"/>
          <w:iCs/>
          <w:sz w:val="28"/>
          <w:szCs w:val="28"/>
          <w:lang w:val="uk-UA"/>
        </w:rPr>
        <w:t>6</w:t>
      </w:r>
      <w:r w:rsidRPr="00550010">
        <w:rPr>
          <w:rFonts w:ascii="Times New Roman" w:hAnsi="Times New Roman" w:cs="Times New Roman"/>
          <w:iCs/>
          <w:sz w:val="28"/>
          <w:szCs w:val="28"/>
        </w:rPr>
        <w:t xml:space="preserve"> місяців 202</w:t>
      </w:r>
      <w:r w:rsidR="00FB45C7">
        <w:rPr>
          <w:rFonts w:ascii="Times New Roman" w:hAnsi="Times New Roman" w:cs="Times New Roman"/>
          <w:iCs/>
          <w:sz w:val="28"/>
          <w:szCs w:val="28"/>
          <w:lang w:val="uk-UA"/>
        </w:rPr>
        <w:t>1</w:t>
      </w:r>
      <w:r w:rsidRPr="00550010">
        <w:rPr>
          <w:rFonts w:ascii="Times New Roman" w:hAnsi="Times New Roman" w:cs="Times New Roman"/>
          <w:iCs/>
          <w:sz w:val="28"/>
          <w:szCs w:val="28"/>
        </w:rPr>
        <w:t xml:space="preserve"> року;</w:t>
      </w:r>
    </w:p>
    <w:p w:rsidR="00FB45C7" w:rsidRDefault="00550010" w:rsidP="00F331B7">
      <w:pPr>
        <w:spacing w:after="0" w:line="360" w:lineRule="auto"/>
        <w:ind w:left="539"/>
        <w:jc w:val="both"/>
        <w:rPr>
          <w:rFonts w:ascii="Times New Roman" w:hAnsi="Times New Roman" w:cs="Times New Roman"/>
          <w:sz w:val="28"/>
          <w:szCs w:val="28"/>
          <w:lang w:val="uk-UA"/>
        </w:rPr>
      </w:pPr>
      <w:r w:rsidRPr="00FB45C7">
        <w:rPr>
          <w:rFonts w:ascii="Times New Roman" w:hAnsi="Times New Roman" w:cs="Times New Roman"/>
          <w:iCs/>
          <w:sz w:val="28"/>
          <w:szCs w:val="28"/>
        </w:rPr>
        <w:t xml:space="preserve">- </w:t>
      </w:r>
      <w:r w:rsidR="00FB45C7" w:rsidRPr="00FB45C7">
        <w:rPr>
          <w:rFonts w:ascii="Times New Roman" w:hAnsi="Times New Roman" w:cs="Times New Roman"/>
          <w:sz w:val="28"/>
          <w:szCs w:val="28"/>
        </w:rPr>
        <w:t>Основні макропоказники економічного і соціального розви</w:t>
      </w:r>
      <w:r w:rsidR="00FB45C7">
        <w:rPr>
          <w:rFonts w:ascii="Times New Roman" w:hAnsi="Times New Roman" w:cs="Times New Roman"/>
          <w:sz w:val="28"/>
          <w:szCs w:val="28"/>
        </w:rPr>
        <w:t>тку України</w:t>
      </w:r>
    </w:p>
    <w:p w:rsidR="00E56451" w:rsidRDefault="00FB45C7" w:rsidP="00E56451">
      <w:pPr>
        <w:spacing w:after="0" w:line="360" w:lineRule="auto"/>
        <w:jc w:val="both"/>
        <w:rPr>
          <w:rFonts w:ascii="Times New Roman" w:hAnsi="Times New Roman" w:cs="Times New Roman"/>
          <w:iCs/>
          <w:noProof/>
          <w:sz w:val="28"/>
          <w:szCs w:val="28"/>
          <w:lang w:val="uk-UA"/>
        </w:rPr>
      </w:pPr>
      <w:r w:rsidRPr="00FB45C7">
        <w:rPr>
          <w:rFonts w:ascii="Times New Roman" w:hAnsi="Times New Roman" w:cs="Times New Roman"/>
          <w:sz w:val="28"/>
          <w:szCs w:val="28"/>
        </w:rPr>
        <w:t>у 2020 – 2024 роках</w:t>
      </w:r>
      <w:r w:rsidRPr="00FB45C7">
        <w:rPr>
          <w:rFonts w:ascii="Times New Roman" w:hAnsi="Times New Roman" w:cs="Times New Roman"/>
          <w:iCs/>
          <w:noProof/>
          <w:sz w:val="28"/>
          <w:szCs w:val="28"/>
          <w:lang w:val="uk-UA"/>
        </w:rPr>
        <w:t>,</w:t>
      </w:r>
      <w:r w:rsidRPr="00FB45C7">
        <w:rPr>
          <w:rFonts w:ascii="Times New Roman" w:hAnsi="Times New Roman" w:cs="Times New Roman"/>
          <w:color w:val="333333"/>
          <w:sz w:val="28"/>
          <w:szCs w:val="28"/>
          <w:shd w:val="clear" w:color="auto" w:fill="FFFFFF"/>
        </w:rPr>
        <w:t xml:space="preserve"> схвален</w:t>
      </w:r>
      <w:r w:rsidRPr="00FB45C7">
        <w:rPr>
          <w:rFonts w:ascii="Times New Roman" w:hAnsi="Times New Roman" w:cs="Times New Roman"/>
          <w:color w:val="333333"/>
          <w:sz w:val="28"/>
          <w:szCs w:val="28"/>
          <w:shd w:val="clear" w:color="auto" w:fill="FFFFFF"/>
          <w:lang w:val="uk-UA"/>
        </w:rPr>
        <w:t>і</w:t>
      </w:r>
      <w:r w:rsidRPr="00FB45C7">
        <w:rPr>
          <w:rFonts w:ascii="Times New Roman" w:hAnsi="Times New Roman" w:cs="Times New Roman"/>
          <w:color w:val="333333"/>
          <w:sz w:val="28"/>
          <w:szCs w:val="28"/>
          <w:shd w:val="clear" w:color="auto" w:fill="FFFFFF"/>
        </w:rPr>
        <w:t xml:space="preserve"> постановою Кабінету Міністрів України від</w:t>
      </w:r>
      <w:r>
        <w:rPr>
          <w:rFonts w:ascii="Times New Roman" w:hAnsi="Times New Roman" w:cs="Times New Roman"/>
          <w:color w:val="333333"/>
          <w:sz w:val="28"/>
          <w:szCs w:val="28"/>
          <w:shd w:val="clear" w:color="auto" w:fill="FFFFFF"/>
          <w:lang w:val="uk-UA"/>
        </w:rPr>
        <w:t xml:space="preserve"> </w:t>
      </w:r>
      <w:r w:rsidR="00365354">
        <w:rPr>
          <w:rFonts w:ascii="Times New Roman" w:hAnsi="Times New Roman" w:cs="Times New Roman"/>
          <w:color w:val="333333"/>
          <w:sz w:val="28"/>
          <w:szCs w:val="28"/>
          <w:shd w:val="clear" w:color="auto" w:fill="FFFFFF"/>
          <w:lang w:val="uk-UA"/>
        </w:rPr>
        <w:t xml:space="preserve">   </w:t>
      </w:r>
      <w:r w:rsidRPr="00FB45C7">
        <w:rPr>
          <w:rFonts w:ascii="Times New Roman" w:hAnsi="Times New Roman" w:cs="Times New Roman"/>
          <w:color w:val="333333"/>
          <w:sz w:val="28"/>
          <w:szCs w:val="28"/>
          <w:shd w:val="clear" w:color="auto" w:fill="FFFFFF"/>
        </w:rPr>
        <w:t xml:space="preserve">31 травня 2021 </w:t>
      </w:r>
      <w:r w:rsidRPr="00E56451">
        <w:rPr>
          <w:rFonts w:ascii="Times New Roman" w:hAnsi="Times New Roman" w:cs="Times New Roman"/>
          <w:sz w:val="28"/>
          <w:szCs w:val="28"/>
          <w:shd w:val="clear" w:color="auto" w:fill="FFFFFF"/>
        </w:rPr>
        <w:t>року </w:t>
      </w:r>
      <w:hyperlink r:id="rId6" w:tgtFrame="_blank" w:history="1">
        <w:r w:rsidRPr="00E56451">
          <w:rPr>
            <w:rStyle w:val="a3"/>
            <w:rFonts w:ascii="Times New Roman" w:hAnsi="Times New Roman" w:cs="Times New Roman"/>
            <w:color w:val="auto"/>
            <w:sz w:val="28"/>
            <w:szCs w:val="28"/>
            <w:shd w:val="clear" w:color="auto" w:fill="FFFFFF"/>
          </w:rPr>
          <w:t>№ 548</w:t>
        </w:r>
      </w:hyperlink>
      <w:r w:rsidRPr="00E56451">
        <w:rPr>
          <w:rFonts w:ascii="Times New Roman" w:hAnsi="Times New Roman" w:cs="Times New Roman"/>
          <w:sz w:val="28"/>
          <w:szCs w:val="28"/>
          <w:shd w:val="clear" w:color="auto" w:fill="FFFFFF"/>
        </w:rPr>
        <w:t> "Про</w:t>
      </w:r>
      <w:r w:rsidRPr="00FB45C7">
        <w:rPr>
          <w:rFonts w:ascii="Times New Roman" w:hAnsi="Times New Roman" w:cs="Times New Roman"/>
          <w:color w:val="333333"/>
          <w:sz w:val="28"/>
          <w:szCs w:val="28"/>
          <w:shd w:val="clear" w:color="auto" w:fill="FFFFFF"/>
        </w:rPr>
        <w:t xml:space="preserve"> схвалення Бюджетної декларації на 2022-2024 роки"</w:t>
      </w:r>
      <w:r w:rsidR="00E56451">
        <w:rPr>
          <w:rFonts w:ascii="Times New Roman" w:hAnsi="Times New Roman" w:cs="Times New Roman"/>
          <w:iCs/>
          <w:noProof/>
          <w:sz w:val="28"/>
          <w:szCs w:val="28"/>
          <w:lang w:val="uk-UA"/>
        </w:rPr>
        <w:t>;</w:t>
      </w:r>
    </w:p>
    <w:p w:rsidR="002D6459" w:rsidRDefault="00550010" w:rsidP="00E56451">
      <w:pPr>
        <w:spacing w:after="0" w:line="360" w:lineRule="auto"/>
        <w:jc w:val="both"/>
        <w:rPr>
          <w:rFonts w:ascii="Times New Roman" w:hAnsi="Times New Roman" w:cs="Times New Roman"/>
          <w:sz w:val="28"/>
          <w:szCs w:val="28"/>
          <w:lang w:val="uk-UA"/>
        </w:rPr>
      </w:pPr>
      <w:r w:rsidRPr="002D6459">
        <w:rPr>
          <w:rFonts w:ascii="Times New Roman" w:hAnsi="Times New Roman" w:cs="Times New Roman"/>
          <w:sz w:val="28"/>
          <w:szCs w:val="28"/>
          <w:lang w:val="uk-UA"/>
        </w:rPr>
        <w:t xml:space="preserve">– </w:t>
      </w:r>
      <w:r w:rsidR="002D6459">
        <w:rPr>
          <w:rFonts w:ascii="Times New Roman" w:hAnsi="Times New Roman" w:cs="Times New Roman"/>
          <w:sz w:val="28"/>
          <w:szCs w:val="28"/>
          <w:lang w:val="uk-UA"/>
        </w:rPr>
        <w:t xml:space="preserve"> </w:t>
      </w:r>
      <w:r w:rsidR="002D6459" w:rsidRPr="002D6459">
        <w:rPr>
          <w:rFonts w:ascii="Times New Roman" w:hAnsi="Times New Roman" w:cs="Times New Roman"/>
          <w:sz w:val="28"/>
          <w:szCs w:val="28"/>
          <w:lang w:val="uk-UA"/>
        </w:rPr>
        <w:t xml:space="preserve">підвищення розміру прожиткового мінімуму, мінімальної заробітної плати та посадового окладу </w:t>
      </w:r>
      <w:r w:rsidR="002D6459" w:rsidRPr="002D6459">
        <w:rPr>
          <w:rFonts w:ascii="Times New Roman" w:hAnsi="Times New Roman" w:cs="Times New Roman"/>
          <w:i/>
          <w:sz w:val="28"/>
          <w:szCs w:val="28"/>
          <w:lang w:val="uk-UA"/>
        </w:rPr>
        <w:t>(тарифної ставки)</w:t>
      </w:r>
      <w:r w:rsidR="002D6459" w:rsidRPr="002D6459">
        <w:rPr>
          <w:rFonts w:ascii="Times New Roman" w:hAnsi="Times New Roman" w:cs="Times New Roman"/>
          <w:sz w:val="28"/>
          <w:szCs w:val="28"/>
          <w:lang w:val="uk-UA"/>
        </w:rPr>
        <w:t xml:space="preserve"> працівника </w:t>
      </w:r>
      <w:r w:rsidR="002D6459" w:rsidRPr="002D6459">
        <w:rPr>
          <w:rFonts w:ascii="Times New Roman" w:hAnsi="Times New Roman" w:cs="Times New Roman"/>
          <w:sz w:val="28"/>
          <w:szCs w:val="28"/>
        </w:rPr>
        <w:t>I </w:t>
      </w:r>
      <w:r w:rsidR="002D6459" w:rsidRPr="002D6459">
        <w:rPr>
          <w:rFonts w:ascii="Times New Roman" w:hAnsi="Times New Roman" w:cs="Times New Roman"/>
          <w:sz w:val="28"/>
          <w:szCs w:val="28"/>
          <w:lang w:val="uk-UA"/>
        </w:rPr>
        <w:t>тарифного розряду Єдиної тарифної сітки</w:t>
      </w:r>
      <w:r w:rsidR="002D6459">
        <w:rPr>
          <w:rFonts w:ascii="Times New Roman" w:hAnsi="Times New Roman" w:cs="Times New Roman"/>
          <w:sz w:val="28"/>
          <w:szCs w:val="28"/>
          <w:lang w:val="uk-UA"/>
        </w:rPr>
        <w:t>.</w:t>
      </w:r>
    </w:p>
    <w:p w:rsidR="0040661F" w:rsidRDefault="0040661F" w:rsidP="00BF318B">
      <w:pPr>
        <w:shd w:val="clear" w:color="auto" w:fill="FFFFFF"/>
        <w:spacing w:after="166" w:line="240" w:lineRule="auto"/>
        <w:jc w:val="center"/>
        <w:rPr>
          <w:rFonts w:ascii="Times New Roman" w:eastAsia="Times New Roman" w:hAnsi="Times New Roman" w:cs="Times New Roman"/>
          <w:b/>
          <w:bCs/>
          <w:color w:val="333333"/>
          <w:sz w:val="28"/>
          <w:szCs w:val="28"/>
          <w:lang w:val="uk-UA" w:eastAsia="ru-RU"/>
        </w:rPr>
      </w:pPr>
    </w:p>
    <w:p w:rsidR="0040661F" w:rsidRDefault="0040661F" w:rsidP="00BF318B">
      <w:pPr>
        <w:shd w:val="clear" w:color="auto" w:fill="FFFFFF"/>
        <w:spacing w:after="166" w:line="240" w:lineRule="auto"/>
        <w:jc w:val="center"/>
        <w:rPr>
          <w:rFonts w:ascii="Times New Roman" w:eastAsia="Times New Roman" w:hAnsi="Times New Roman" w:cs="Times New Roman"/>
          <w:b/>
          <w:bCs/>
          <w:color w:val="333333"/>
          <w:sz w:val="28"/>
          <w:szCs w:val="28"/>
          <w:lang w:val="uk-UA" w:eastAsia="ru-RU"/>
        </w:rPr>
      </w:pPr>
    </w:p>
    <w:p w:rsidR="00DF3C6E" w:rsidRDefault="00DF3C6E" w:rsidP="00BF318B">
      <w:pPr>
        <w:shd w:val="clear" w:color="auto" w:fill="FFFFFF"/>
        <w:spacing w:after="166" w:line="240" w:lineRule="auto"/>
        <w:jc w:val="center"/>
        <w:rPr>
          <w:rFonts w:ascii="Times New Roman" w:eastAsia="Times New Roman" w:hAnsi="Times New Roman" w:cs="Times New Roman"/>
          <w:b/>
          <w:bCs/>
          <w:color w:val="333333"/>
          <w:sz w:val="28"/>
          <w:szCs w:val="28"/>
          <w:lang w:val="uk-UA" w:eastAsia="ru-RU"/>
        </w:rPr>
      </w:pPr>
    </w:p>
    <w:p w:rsidR="00DF3C6E" w:rsidRDefault="00DF3C6E" w:rsidP="00BF318B">
      <w:pPr>
        <w:shd w:val="clear" w:color="auto" w:fill="FFFFFF"/>
        <w:spacing w:after="166" w:line="240" w:lineRule="auto"/>
        <w:jc w:val="center"/>
        <w:rPr>
          <w:rFonts w:ascii="Times New Roman" w:eastAsia="Times New Roman" w:hAnsi="Times New Roman" w:cs="Times New Roman"/>
          <w:b/>
          <w:bCs/>
          <w:color w:val="333333"/>
          <w:sz w:val="28"/>
          <w:szCs w:val="28"/>
          <w:lang w:val="uk-UA" w:eastAsia="ru-RU"/>
        </w:rPr>
      </w:pPr>
    </w:p>
    <w:p w:rsidR="00DF3C6E" w:rsidRDefault="00DF3C6E" w:rsidP="00BF318B">
      <w:pPr>
        <w:shd w:val="clear" w:color="auto" w:fill="FFFFFF"/>
        <w:spacing w:after="166" w:line="240" w:lineRule="auto"/>
        <w:jc w:val="center"/>
        <w:rPr>
          <w:rFonts w:ascii="Times New Roman" w:eastAsia="Times New Roman" w:hAnsi="Times New Roman" w:cs="Times New Roman"/>
          <w:b/>
          <w:bCs/>
          <w:color w:val="333333"/>
          <w:sz w:val="28"/>
          <w:szCs w:val="28"/>
          <w:lang w:val="uk-UA" w:eastAsia="ru-RU"/>
        </w:rPr>
      </w:pPr>
    </w:p>
    <w:p w:rsidR="00DF3C6E" w:rsidRDefault="00DF3C6E" w:rsidP="00BF318B">
      <w:pPr>
        <w:shd w:val="clear" w:color="auto" w:fill="FFFFFF"/>
        <w:spacing w:after="166" w:line="240" w:lineRule="auto"/>
        <w:jc w:val="center"/>
        <w:rPr>
          <w:rFonts w:ascii="Times New Roman" w:eastAsia="Times New Roman" w:hAnsi="Times New Roman" w:cs="Times New Roman"/>
          <w:b/>
          <w:bCs/>
          <w:color w:val="333333"/>
          <w:sz w:val="28"/>
          <w:szCs w:val="28"/>
          <w:lang w:val="uk-UA" w:eastAsia="ru-RU"/>
        </w:rPr>
      </w:pPr>
    </w:p>
    <w:p w:rsidR="00DF3C6E" w:rsidRDefault="00DF3C6E" w:rsidP="00BF318B">
      <w:pPr>
        <w:shd w:val="clear" w:color="auto" w:fill="FFFFFF"/>
        <w:spacing w:after="166" w:line="240" w:lineRule="auto"/>
        <w:jc w:val="center"/>
        <w:rPr>
          <w:rFonts w:ascii="Times New Roman" w:eastAsia="Times New Roman" w:hAnsi="Times New Roman" w:cs="Times New Roman"/>
          <w:b/>
          <w:bCs/>
          <w:color w:val="333333"/>
          <w:sz w:val="28"/>
          <w:szCs w:val="28"/>
          <w:lang w:val="uk-UA" w:eastAsia="ru-RU"/>
        </w:rPr>
      </w:pPr>
    </w:p>
    <w:p w:rsidR="0040661F" w:rsidRDefault="0040661F" w:rsidP="00BF318B">
      <w:pPr>
        <w:shd w:val="clear" w:color="auto" w:fill="FFFFFF"/>
        <w:spacing w:after="166" w:line="240" w:lineRule="auto"/>
        <w:jc w:val="center"/>
        <w:rPr>
          <w:rFonts w:ascii="Times New Roman" w:eastAsia="Times New Roman" w:hAnsi="Times New Roman" w:cs="Times New Roman"/>
          <w:b/>
          <w:bCs/>
          <w:color w:val="333333"/>
          <w:sz w:val="28"/>
          <w:szCs w:val="28"/>
          <w:lang w:val="uk-UA" w:eastAsia="ru-RU"/>
        </w:rPr>
      </w:pPr>
    </w:p>
    <w:p w:rsidR="00730836" w:rsidRPr="00BF318B" w:rsidRDefault="00993053" w:rsidP="00BF318B">
      <w:pPr>
        <w:shd w:val="clear" w:color="auto" w:fill="FFFFFF"/>
        <w:spacing w:after="166" w:line="240" w:lineRule="auto"/>
        <w:jc w:val="center"/>
        <w:rPr>
          <w:rFonts w:ascii="Times New Roman" w:eastAsia="Times New Roman" w:hAnsi="Times New Roman" w:cs="Times New Roman"/>
          <w:b/>
          <w:bCs/>
          <w:color w:val="333333"/>
          <w:sz w:val="28"/>
          <w:szCs w:val="28"/>
          <w:lang w:val="uk-UA" w:eastAsia="ru-RU"/>
        </w:rPr>
      </w:pPr>
      <w:r w:rsidRPr="00BF318B">
        <w:rPr>
          <w:rFonts w:ascii="Times New Roman" w:eastAsia="Times New Roman" w:hAnsi="Times New Roman" w:cs="Times New Roman"/>
          <w:b/>
          <w:bCs/>
          <w:color w:val="333333"/>
          <w:sz w:val="28"/>
          <w:szCs w:val="28"/>
          <w:lang w:eastAsia="ru-RU"/>
        </w:rPr>
        <w:lastRenderedPageBreak/>
        <w:t>Розмір прожиткового мінімуму, грн</w:t>
      </w:r>
      <w:r w:rsidR="00730836" w:rsidRPr="00BF318B">
        <w:rPr>
          <w:rFonts w:ascii="Times New Roman" w:eastAsia="Times New Roman" w:hAnsi="Times New Roman" w:cs="Times New Roman"/>
          <w:b/>
          <w:bCs/>
          <w:color w:val="333333"/>
          <w:sz w:val="28"/>
          <w:szCs w:val="28"/>
          <w:lang w:val="uk-UA" w:eastAsia="ru-RU"/>
        </w:rPr>
        <w:t>.</w:t>
      </w:r>
    </w:p>
    <w:tbl>
      <w:tblPr>
        <w:tblW w:w="0" w:type="auto"/>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4A0" w:firstRow="1" w:lastRow="0" w:firstColumn="1" w:lastColumn="0" w:noHBand="0" w:noVBand="1"/>
      </w:tblPr>
      <w:tblGrid>
        <w:gridCol w:w="2024"/>
        <w:gridCol w:w="767"/>
        <w:gridCol w:w="843"/>
        <w:gridCol w:w="920"/>
        <w:gridCol w:w="772"/>
        <w:gridCol w:w="843"/>
        <w:gridCol w:w="920"/>
        <w:gridCol w:w="767"/>
        <w:gridCol w:w="843"/>
        <w:gridCol w:w="920"/>
      </w:tblGrid>
      <w:tr w:rsidR="00993053" w:rsidRPr="00993053" w:rsidTr="00993053">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993053">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b/>
                <w:bCs/>
                <w:lang w:eastAsia="ru-RU"/>
              </w:rPr>
              <w:t>2022 рік</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b/>
                <w:bCs/>
                <w:lang w:eastAsia="ru-RU"/>
              </w:rPr>
              <w:t>2023 рік</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b/>
                <w:bCs/>
                <w:lang w:eastAsia="ru-RU"/>
              </w:rPr>
              <w:t>2024 рік</w:t>
            </w:r>
          </w:p>
        </w:tc>
      </w:tr>
      <w:tr w:rsidR="00993053" w:rsidRPr="00993053" w:rsidTr="00993053">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993053" w:rsidRPr="00993053" w:rsidRDefault="00993053" w:rsidP="00993053">
            <w:pPr>
              <w:spacing w:after="0" w:line="240" w:lineRule="auto"/>
              <w:rPr>
                <w:rFonts w:ascii="Times New Roman" w:eastAsia="Times New Roman" w:hAnsi="Times New Roman" w:cs="Times New Roman"/>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з січня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з липня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з грудня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з січня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з липня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з грудня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з січня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з липня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з грудня</w:t>
            </w:r>
          </w:p>
        </w:tc>
      </w:tr>
      <w:tr w:rsidR="00993053" w:rsidRPr="00993053" w:rsidTr="00993053">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BF318B" w:rsidRDefault="00993053" w:rsidP="00993053">
            <w:pPr>
              <w:spacing w:after="0" w:line="240" w:lineRule="auto"/>
              <w:jc w:val="center"/>
              <w:rPr>
                <w:rFonts w:ascii="Times New Roman" w:eastAsia="Times New Roman" w:hAnsi="Times New Roman" w:cs="Times New Roman"/>
                <w:sz w:val="24"/>
                <w:szCs w:val="24"/>
                <w:lang w:eastAsia="ru-RU"/>
              </w:rPr>
            </w:pPr>
            <w:r w:rsidRPr="00BF318B">
              <w:rPr>
                <w:rFonts w:ascii="Times New Roman" w:eastAsia="Times New Roman" w:hAnsi="Times New Roman" w:cs="Times New Roman"/>
                <w:sz w:val="24"/>
                <w:szCs w:val="24"/>
                <w:lang w:eastAsia="ru-RU"/>
              </w:rPr>
              <w:t>Прожитковий мінімум, грн:</w:t>
            </w:r>
          </w:p>
          <w:p w:rsidR="00993053" w:rsidRPr="00993053" w:rsidRDefault="00993053" w:rsidP="00993053">
            <w:pPr>
              <w:spacing w:after="0" w:line="240" w:lineRule="auto"/>
              <w:jc w:val="center"/>
              <w:rPr>
                <w:rFonts w:ascii="Times New Roman" w:eastAsia="Times New Roman" w:hAnsi="Times New Roman" w:cs="Times New Roman"/>
                <w:lang w:eastAsia="ru-RU"/>
              </w:rPr>
            </w:pPr>
            <w:r w:rsidRPr="00BF318B">
              <w:rPr>
                <w:rFonts w:ascii="Times New Roman" w:eastAsia="Times New Roman" w:hAnsi="Times New Roman" w:cs="Times New Roman"/>
                <w:sz w:val="24"/>
                <w:szCs w:val="24"/>
                <w:lang w:eastAsia="ru-RU"/>
              </w:rPr>
              <w:t>на 1 особу</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2393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2508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2589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2589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2713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2778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2778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2911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2972</w:t>
            </w:r>
          </w:p>
        </w:tc>
      </w:tr>
      <w:tr w:rsidR="00993053" w:rsidRPr="00993053" w:rsidTr="00993053">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BF318B" w:rsidRDefault="00993053" w:rsidP="00993053">
            <w:pPr>
              <w:spacing w:after="0" w:line="240" w:lineRule="auto"/>
              <w:jc w:val="center"/>
              <w:rPr>
                <w:rFonts w:ascii="Times New Roman" w:eastAsia="Times New Roman" w:hAnsi="Times New Roman" w:cs="Times New Roman"/>
                <w:sz w:val="24"/>
                <w:szCs w:val="24"/>
                <w:lang w:eastAsia="ru-RU"/>
              </w:rPr>
            </w:pPr>
            <w:r w:rsidRPr="00BF318B">
              <w:rPr>
                <w:rFonts w:ascii="Times New Roman" w:eastAsia="Times New Roman" w:hAnsi="Times New Roman" w:cs="Times New Roman"/>
                <w:sz w:val="24"/>
                <w:szCs w:val="24"/>
                <w:lang w:eastAsia="ru-RU"/>
              </w:rPr>
              <w:t>для дітей віком до 6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2100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2201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2272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2272</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2381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2438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2438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2555</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2609</w:t>
            </w:r>
          </w:p>
        </w:tc>
      </w:tr>
      <w:tr w:rsidR="00993053" w:rsidRPr="00993053" w:rsidTr="00993053">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BF318B" w:rsidRDefault="00993053" w:rsidP="00993053">
            <w:pPr>
              <w:spacing w:after="0" w:line="240" w:lineRule="auto"/>
              <w:jc w:val="center"/>
              <w:rPr>
                <w:rFonts w:ascii="Times New Roman" w:eastAsia="Times New Roman" w:hAnsi="Times New Roman" w:cs="Times New Roman"/>
                <w:sz w:val="24"/>
                <w:szCs w:val="24"/>
                <w:lang w:eastAsia="ru-RU"/>
              </w:rPr>
            </w:pPr>
            <w:r w:rsidRPr="00BF318B">
              <w:rPr>
                <w:rFonts w:ascii="Times New Roman" w:eastAsia="Times New Roman" w:hAnsi="Times New Roman" w:cs="Times New Roman"/>
                <w:sz w:val="24"/>
                <w:szCs w:val="24"/>
                <w:lang w:eastAsia="ru-RU"/>
              </w:rPr>
              <w:t>для дітей віком від 6 до 18 років</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2618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2744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2833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2833 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2969</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3040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3040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3186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3253</w:t>
            </w:r>
          </w:p>
        </w:tc>
      </w:tr>
      <w:tr w:rsidR="00993053" w:rsidRPr="00993053" w:rsidTr="00BF318B">
        <w:trPr>
          <w:trHeight w:val="845"/>
        </w:trPr>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BF318B" w:rsidRDefault="00993053" w:rsidP="00993053">
            <w:pPr>
              <w:spacing w:after="0" w:line="240" w:lineRule="auto"/>
              <w:jc w:val="center"/>
              <w:rPr>
                <w:rFonts w:ascii="Times New Roman" w:eastAsia="Times New Roman" w:hAnsi="Times New Roman" w:cs="Times New Roman"/>
                <w:sz w:val="24"/>
                <w:szCs w:val="24"/>
                <w:lang w:eastAsia="ru-RU"/>
              </w:rPr>
            </w:pPr>
            <w:r w:rsidRPr="00BF318B">
              <w:rPr>
                <w:rFonts w:ascii="Times New Roman" w:eastAsia="Times New Roman" w:hAnsi="Times New Roman" w:cs="Times New Roman"/>
                <w:sz w:val="24"/>
                <w:szCs w:val="24"/>
                <w:lang w:eastAsia="ru-RU"/>
              </w:rPr>
              <w:t>для працездатних осіб</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2481</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2600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2684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2684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2813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2880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2880</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3018</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3082</w:t>
            </w:r>
          </w:p>
        </w:tc>
      </w:tr>
      <w:tr w:rsidR="00993053" w:rsidRPr="00993053" w:rsidTr="00993053">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BF318B" w:rsidRDefault="00993053" w:rsidP="00993053">
            <w:pPr>
              <w:spacing w:after="0" w:line="240" w:lineRule="auto"/>
              <w:jc w:val="center"/>
              <w:rPr>
                <w:rFonts w:ascii="Times New Roman" w:eastAsia="Times New Roman" w:hAnsi="Times New Roman" w:cs="Times New Roman"/>
                <w:sz w:val="24"/>
                <w:szCs w:val="24"/>
                <w:lang w:eastAsia="ru-RU"/>
              </w:rPr>
            </w:pPr>
            <w:r w:rsidRPr="00BF318B">
              <w:rPr>
                <w:rFonts w:ascii="Times New Roman" w:eastAsia="Times New Roman" w:hAnsi="Times New Roman" w:cs="Times New Roman"/>
                <w:sz w:val="24"/>
                <w:szCs w:val="24"/>
                <w:lang w:eastAsia="ru-RU"/>
              </w:rPr>
              <w:t>для осіб, які втратили працездатність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1934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2027</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2093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2093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2193</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2246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2246</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2354</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32" w:type="dxa"/>
              <w:left w:w="132" w:type="dxa"/>
              <w:bottom w:w="132" w:type="dxa"/>
              <w:right w:w="132" w:type="dxa"/>
            </w:tcMar>
            <w:hideMark/>
          </w:tcPr>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 </w:t>
            </w:r>
          </w:p>
          <w:p w:rsidR="00993053" w:rsidRPr="00993053" w:rsidRDefault="00993053" w:rsidP="003A5B35">
            <w:pPr>
              <w:spacing w:after="0" w:line="240" w:lineRule="auto"/>
              <w:jc w:val="center"/>
              <w:rPr>
                <w:rFonts w:ascii="Times New Roman" w:eastAsia="Times New Roman" w:hAnsi="Times New Roman" w:cs="Times New Roman"/>
                <w:lang w:eastAsia="ru-RU"/>
              </w:rPr>
            </w:pPr>
            <w:r w:rsidRPr="00993053">
              <w:rPr>
                <w:rFonts w:ascii="Times New Roman" w:eastAsia="Times New Roman" w:hAnsi="Times New Roman" w:cs="Times New Roman"/>
                <w:lang w:eastAsia="ru-RU"/>
              </w:rPr>
              <w:t>2403</w:t>
            </w:r>
          </w:p>
        </w:tc>
      </w:tr>
    </w:tbl>
    <w:p w:rsidR="00993053" w:rsidRPr="00993053" w:rsidRDefault="00993053" w:rsidP="00993053">
      <w:pPr>
        <w:shd w:val="clear" w:color="auto" w:fill="FFFFFF"/>
        <w:spacing w:after="166" w:line="240" w:lineRule="auto"/>
        <w:jc w:val="both"/>
        <w:rPr>
          <w:rFonts w:ascii="Times New Roman" w:eastAsia="Times New Roman" w:hAnsi="Times New Roman" w:cs="Times New Roman"/>
          <w:color w:val="333333"/>
          <w:lang w:eastAsia="ru-RU"/>
        </w:rPr>
      </w:pPr>
      <w:r w:rsidRPr="00993053">
        <w:rPr>
          <w:rFonts w:ascii="Times New Roman" w:eastAsia="Times New Roman" w:hAnsi="Times New Roman" w:cs="Times New Roman"/>
          <w:color w:val="333333"/>
          <w:lang w:eastAsia="ru-RU"/>
        </w:rPr>
        <w:t> </w:t>
      </w:r>
    </w:p>
    <w:p w:rsidR="00E64B92" w:rsidRPr="00365354" w:rsidRDefault="00530857" w:rsidP="00365354">
      <w:pPr>
        <w:spacing w:after="0" w:line="360" w:lineRule="auto"/>
        <w:ind w:firstLine="709"/>
        <w:jc w:val="center"/>
        <w:rPr>
          <w:rFonts w:ascii="Times New Roman" w:hAnsi="Times New Roman" w:cs="Times New Roman"/>
          <w:b/>
          <w:sz w:val="28"/>
          <w:szCs w:val="28"/>
          <w:lang w:val="uk-UA"/>
        </w:rPr>
      </w:pPr>
      <w:r w:rsidRPr="00365354">
        <w:rPr>
          <w:rFonts w:ascii="Times New Roman" w:hAnsi="Times New Roman" w:cs="Times New Roman"/>
          <w:b/>
          <w:sz w:val="28"/>
          <w:szCs w:val="28"/>
          <w:lang w:val="uk-UA"/>
        </w:rPr>
        <w:t xml:space="preserve">Мінімальна </w:t>
      </w:r>
      <w:r w:rsidR="00365354">
        <w:rPr>
          <w:rFonts w:ascii="Times New Roman" w:hAnsi="Times New Roman" w:cs="Times New Roman"/>
          <w:b/>
          <w:sz w:val="28"/>
          <w:szCs w:val="28"/>
          <w:lang w:val="uk-UA"/>
        </w:rPr>
        <w:t>зарплата та соціальні стандарти</w:t>
      </w:r>
    </w:p>
    <w:tbl>
      <w:tblPr>
        <w:tblStyle w:val="a4"/>
        <w:tblW w:w="4798" w:type="pct"/>
        <w:tblLook w:val="04A0" w:firstRow="1" w:lastRow="0" w:firstColumn="1" w:lastColumn="0" w:noHBand="0" w:noVBand="1"/>
      </w:tblPr>
      <w:tblGrid>
        <w:gridCol w:w="3227"/>
        <w:gridCol w:w="1422"/>
        <w:gridCol w:w="1615"/>
        <w:gridCol w:w="1359"/>
        <w:gridCol w:w="1561"/>
      </w:tblGrid>
      <w:tr w:rsidR="0056364F" w:rsidRPr="006032AE" w:rsidTr="00E44F01">
        <w:trPr>
          <w:trHeight w:val="113"/>
        </w:trPr>
        <w:tc>
          <w:tcPr>
            <w:tcW w:w="1757" w:type="pct"/>
            <w:vMerge w:val="restar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Показник</w:t>
            </w:r>
          </w:p>
        </w:tc>
        <w:tc>
          <w:tcPr>
            <w:tcW w:w="1653" w:type="pct"/>
            <w:gridSpan w:val="2"/>
          </w:tcPr>
          <w:p w:rsidR="0056364F" w:rsidRDefault="0056364F" w:rsidP="00365354">
            <w:pPr>
              <w:jc w:val="center"/>
              <w:rPr>
                <w:rFonts w:ascii="Times New Roman" w:hAnsi="Times New Roman" w:cs="Times New Roman"/>
                <w:sz w:val="28"/>
                <w:szCs w:val="28"/>
                <w:lang w:val="uk-UA"/>
              </w:rPr>
            </w:pPr>
            <w:r>
              <w:rPr>
                <w:rFonts w:ascii="Times New Roman" w:hAnsi="Times New Roman" w:cs="Times New Roman"/>
                <w:sz w:val="28"/>
                <w:szCs w:val="28"/>
                <w:lang w:val="uk-UA"/>
              </w:rPr>
              <w:t>Мінімальна заробітна плата</w:t>
            </w:r>
          </w:p>
        </w:tc>
        <w:tc>
          <w:tcPr>
            <w:tcW w:w="1590" w:type="pct"/>
            <w:gridSpan w:val="2"/>
          </w:tcPr>
          <w:p w:rsidR="0056364F" w:rsidRDefault="0056364F" w:rsidP="00E44F01">
            <w:pPr>
              <w:jc w:val="center"/>
              <w:rPr>
                <w:rFonts w:ascii="Times New Roman" w:hAnsi="Times New Roman" w:cs="Times New Roman"/>
                <w:sz w:val="28"/>
                <w:szCs w:val="28"/>
                <w:lang w:val="uk-UA"/>
              </w:rPr>
            </w:pPr>
            <w:r>
              <w:rPr>
                <w:rFonts w:ascii="Times New Roman" w:hAnsi="Times New Roman" w:cs="Times New Roman"/>
                <w:sz w:val="28"/>
                <w:szCs w:val="28"/>
                <w:lang w:val="uk-UA"/>
              </w:rPr>
              <w:t>Посадовий оклад працівника І тарифного розряду Єдиної тарифної сітки</w:t>
            </w:r>
          </w:p>
        </w:tc>
      </w:tr>
      <w:tr w:rsidR="0056364F" w:rsidTr="00E44F01">
        <w:trPr>
          <w:trHeight w:val="113"/>
        </w:trPr>
        <w:tc>
          <w:tcPr>
            <w:tcW w:w="1757" w:type="pct"/>
            <w:vMerge/>
          </w:tcPr>
          <w:p w:rsidR="0056364F" w:rsidRDefault="0056364F" w:rsidP="00E44F01">
            <w:pPr>
              <w:jc w:val="both"/>
              <w:rPr>
                <w:rFonts w:ascii="Times New Roman" w:hAnsi="Times New Roman" w:cs="Times New Roman"/>
                <w:sz w:val="28"/>
                <w:szCs w:val="28"/>
                <w:lang w:val="uk-UA"/>
              </w:rPr>
            </w:pPr>
          </w:p>
        </w:tc>
        <w:tc>
          <w:tcPr>
            <w:tcW w:w="774"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грн.</w:t>
            </w:r>
          </w:p>
        </w:tc>
        <w:tc>
          <w:tcPr>
            <w:tcW w:w="879"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темпи приросту, %</w:t>
            </w:r>
          </w:p>
        </w:tc>
        <w:tc>
          <w:tcPr>
            <w:tcW w:w="740"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грн.</w:t>
            </w:r>
          </w:p>
        </w:tc>
        <w:tc>
          <w:tcPr>
            <w:tcW w:w="850"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темпи приросту, %</w:t>
            </w:r>
          </w:p>
        </w:tc>
      </w:tr>
      <w:tr w:rsidR="0056364F" w:rsidTr="00E44F01">
        <w:trPr>
          <w:trHeight w:val="113"/>
        </w:trPr>
        <w:tc>
          <w:tcPr>
            <w:tcW w:w="1757"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01 січня </w:t>
            </w:r>
            <w:r w:rsidR="00365354">
              <w:rPr>
                <w:rFonts w:ascii="Times New Roman" w:hAnsi="Times New Roman" w:cs="Times New Roman"/>
                <w:sz w:val="28"/>
                <w:szCs w:val="28"/>
                <w:lang w:val="uk-UA"/>
              </w:rPr>
              <w:t xml:space="preserve">  </w:t>
            </w:r>
            <w:r>
              <w:rPr>
                <w:rFonts w:ascii="Times New Roman" w:hAnsi="Times New Roman" w:cs="Times New Roman"/>
                <w:sz w:val="28"/>
                <w:szCs w:val="28"/>
                <w:lang w:val="uk-UA"/>
              </w:rPr>
              <w:t>2022 року</w:t>
            </w:r>
          </w:p>
        </w:tc>
        <w:tc>
          <w:tcPr>
            <w:tcW w:w="774"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6 500</w:t>
            </w:r>
          </w:p>
        </w:tc>
        <w:tc>
          <w:tcPr>
            <w:tcW w:w="879" w:type="pct"/>
          </w:tcPr>
          <w:p w:rsidR="0056364F" w:rsidRDefault="0056364F" w:rsidP="00E44F01">
            <w:pPr>
              <w:jc w:val="both"/>
              <w:rPr>
                <w:rFonts w:ascii="Times New Roman" w:hAnsi="Times New Roman" w:cs="Times New Roman"/>
                <w:sz w:val="28"/>
                <w:szCs w:val="28"/>
                <w:lang w:val="uk-UA"/>
              </w:rPr>
            </w:pPr>
          </w:p>
        </w:tc>
        <w:tc>
          <w:tcPr>
            <w:tcW w:w="740"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2 893</w:t>
            </w:r>
          </w:p>
        </w:tc>
        <w:tc>
          <w:tcPr>
            <w:tcW w:w="850" w:type="pct"/>
          </w:tcPr>
          <w:p w:rsidR="0056364F" w:rsidRDefault="0056364F" w:rsidP="00E44F01">
            <w:pPr>
              <w:jc w:val="both"/>
              <w:rPr>
                <w:rFonts w:ascii="Times New Roman" w:hAnsi="Times New Roman" w:cs="Times New Roman"/>
                <w:sz w:val="28"/>
                <w:szCs w:val="28"/>
                <w:lang w:val="uk-UA"/>
              </w:rPr>
            </w:pPr>
          </w:p>
        </w:tc>
      </w:tr>
      <w:tr w:rsidR="0056364F" w:rsidTr="00E44F01">
        <w:trPr>
          <w:trHeight w:val="113"/>
        </w:trPr>
        <w:tc>
          <w:tcPr>
            <w:tcW w:w="1757"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з 01 жовтня 2022 року</w:t>
            </w:r>
          </w:p>
        </w:tc>
        <w:tc>
          <w:tcPr>
            <w:tcW w:w="774"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6 700</w:t>
            </w:r>
          </w:p>
        </w:tc>
        <w:tc>
          <w:tcPr>
            <w:tcW w:w="879"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740"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2 982</w:t>
            </w:r>
          </w:p>
        </w:tc>
        <w:tc>
          <w:tcPr>
            <w:tcW w:w="850"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3,1</w:t>
            </w:r>
          </w:p>
        </w:tc>
      </w:tr>
      <w:tr w:rsidR="0056364F" w:rsidTr="00E44F01">
        <w:trPr>
          <w:trHeight w:val="113"/>
        </w:trPr>
        <w:tc>
          <w:tcPr>
            <w:tcW w:w="1757"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з 01 січня</w:t>
            </w:r>
            <w:r w:rsidR="0036535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2023 року</w:t>
            </w:r>
          </w:p>
        </w:tc>
        <w:tc>
          <w:tcPr>
            <w:tcW w:w="774"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7 176</w:t>
            </w:r>
          </w:p>
        </w:tc>
        <w:tc>
          <w:tcPr>
            <w:tcW w:w="879"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7,1</w:t>
            </w:r>
          </w:p>
        </w:tc>
        <w:tc>
          <w:tcPr>
            <w:tcW w:w="740"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3 193</w:t>
            </w:r>
          </w:p>
        </w:tc>
        <w:tc>
          <w:tcPr>
            <w:tcW w:w="850"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7,1</w:t>
            </w:r>
          </w:p>
        </w:tc>
      </w:tr>
      <w:tr w:rsidR="0056364F" w:rsidTr="00E44F01">
        <w:trPr>
          <w:trHeight w:val="113"/>
        </w:trPr>
        <w:tc>
          <w:tcPr>
            <w:tcW w:w="1757"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з 01 січня</w:t>
            </w:r>
            <w:r w:rsidR="0036535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2024 року</w:t>
            </w:r>
          </w:p>
        </w:tc>
        <w:tc>
          <w:tcPr>
            <w:tcW w:w="774"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7 665</w:t>
            </w:r>
          </w:p>
        </w:tc>
        <w:tc>
          <w:tcPr>
            <w:tcW w:w="879"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6,8</w:t>
            </w:r>
          </w:p>
        </w:tc>
        <w:tc>
          <w:tcPr>
            <w:tcW w:w="740"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3 411</w:t>
            </w:r>
          </w:p>
        </w:tc>
        <w:tc>
          <w:tcPr>
            <w:tcW w:w="850" w:type="pct"/>
          </w:tcPr>
          <w:p w:rsidR="0056364F" w:rsidRDefault="0056364F" w:rsidP="00E44F01">
            <w:pPr>
              <w:jc w:val="both"/>
              <w:rPr>
                <w:rFonts w:ascii="Times New Roman" w:hAnsi="Times New Roman" w:cs="Times New Roman"/>
                <w:sz w:val="28"/>
                <w:szCs w:val="28"/>
                <w:lang w:val="uk-UA"/>
              </w:rPr>
            </w:pPr>
            <w:r>
              <w:rPr>
                <w:rFonts w:ascii="Times New Roman" w:hAnsi="Times New Roman" w:cs="Times New Roman"/>
                <w:sz w:val="28"/>
                <w:szCs w:val="28"/>
                <w:lang w:val="uk-UA"/>
              </w:rPr>
              <w:t>6,8</w:t>
            </w:r>
          </w:p>
        </w:tc>
      </w:tr>
    </w:tbl>
    <w:p w:rsidR="00530857" w:rsidRDefault="00530857" w:rsidP="00E44F01">
      <w:pPr>
        <w:spacing w:after="0" w:line="360" w:lineRule="auto"/>
        <w:ind w:firstLine="709"/>
        <w:jc w:val="both"/>
        <w:rPr>
          <w:rFonts w:ascii="Times New Roman" w:hAnsi="Times New Roman" w:cs="Times New Roman"/>
          <w:sz w:val="28"/>
          <w:szCs w:val="28"/>
          <w:lang w:val="uk-UA"/>
        </w:rPr>
      </w:pPr>
    </w:p>
    <w:p w:rsidR="002C7598" w:rsidRDefault="002C7598" w:rsidP="001159C9">
      <w:pPr>
        <w:spacing w:after="0" w:line="360" w:lineRule="auto"/>
        <w:ind w:firstLine="709"/>
        <w:jc w:val="both"/>
        <w:rPr>
          <w:rFonts w:ascii="Times New Roman" w:hAnsi="Times New Roman" w:cs="Times New Roman"/>
          <w:sz w:val="28"/>
          <w:szCs w:val="28"/>
          <w:lang w:val="uk-UA"/>
        </w:rPr>
      </w:pPr>
      <w:r w:rsidRPr="002C7598">
        <w:rPr>
          <w:rFonts w:ascii="Times New Roman" w:hAnsi="Times New Roman" w:cs="Times New Roman"/>
          <w:sz w:val="28"/>
          <w:szCs w:val="28"/>
          <w:lang w:val="uk-UA"/>
        </w:rPr>
        <w:t xml:space="preserve">З урахуванням прогнозу основних макроекономічних показників економічного та соціального розвитку </w:t>
      </w:r>
      <w:r>
        <w:rPr>
          <w:rFonts w:ascii="Times New Roman" w:hAnsi="Times New Roman" w:cs="Times New Roman"/>
          <w:sz w:val="28"/>
          <w:szCs w:val="28"/>
          <w:lang w:val="uk-UA"/>
        </w:rPr>
        <w:t>територіальної громади</w:t>
      </w:r>
      <w:r w:rsidRPr="002C7598">
        <w:rPr>
          <w:rFonts w:ascii="Times New Roman" w:hAnsi="Times New Roman" w:cs="Times New Roman"/>
          <w:sz w:val="28"/>
          <w:szCs w:val="28"/>
          <w:lang w:val="uk-UA"/>
        </w:rPr>
        <w:t xml:space="preserve">, динаміки бази оподаткування, ефективності податкового адміністрування, загальні показники доходів </w:t>
      </w:r>
      <w:r>
        <w:rPr>
          <w:rFonts w:ascii="Times New Roman" w:hAnsi="Times New Roman" w:cs="Times New Roman"/>
          <w:sz w:val="28"/>
          <w:szCs w:val="28"/>
          <w:lang w:val="uk-UA"/>
        </w:rPr>
        <w:t xml:space="preserve">бюджету Лубенської міської територіальної громади </w:t>
      </w:r>
      <w:r w:rsidRPr="002C7598">
        <w:rPr>
          <w:rFonts w:ascii="Times New Roman" w:hAnsi="Times New Roman" w:cs="Times New Roman"/>
          <w:sz w:val="28"/>
          <w:szCs w:val="28"/>
          <w:lang w:val="uk-UA"/>
        </w:rPr>
        <w:t xml:space="preserve"> на 2022 – 2024 роки зростають.</w:t>
      </w:r>
    </w:p>
    <w:p w:rsidR="00C67B41" w:rsidRDefault="00B86012" w:rsidP="00E6076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Звертаємо увагу, що прогнозні показники дохідної частини місцевого бюджету на 2022-2024 роки є не остаточними та можуть змін</w:t>
      </w:r>
      <w:r w:rsidR="00E60769">
        <w:rPr>
          <w:rFonts w:ascii="Times New Roman" w:hAnsi="Times New Roman" w:cs="Times New Roman"/>
          <w:sz w:val="28"/>
          <w:szCs w:val="28"/>
          <w:lang w:val="uk-UA"/>
        </w:rPr>
        <w:t>и</w:t>
      </w:r>
      <w:r>
        <w:rPr>
          <w:rFonts w:ascii="Times New Roman" w:hAnsi="Times New Roman" w:cs="Times New Roman"/>
          <w:sz w:val="28"/>
          <w:szCs w:val="28"/>
          <w:lang w:val="uk-UA"/>
        </w:rPr>
        <w:t>тися.</w:t>
      </w:r>
    </w:p>
    <w:p w:rsidR="00B86012" w:rsidRDefault="00B86012" w:rsidP="002D6459">
      <w:pPr>
        <w:spacing w:after="0" w:line="240" w:lineRule="auto"/>
        <w:ind w:firstLine="708"/>
        <w:jc w:val="both"/>
        <w:rPr>
          <w:rFonts w:ascii="Times New Roman" w:hAnsi="Times New Roman" w:cs="Times New Roman"/>
          <w:sz w:val="28"/>
          <w:szCs w:val="28"/>
          <w:lang w:val="uk-UA"/>
        </w:rPr>
      </w:pPr>
    </w:p>
    <w:p w:rsidR="00C67B41" w:rsidRDefault="00C67B41" w:rsidP="00C67B41">
      <w:pPr>
        <w:spacing w:after="0" w:line="240" w:lineRule="auto"/>
        <w:ind w:firstLine="708"/>
        <w:jc w:val="center"/>
        <w:rPr>
          <w:rFonts w:ascii="Times New Roman" w:hAnsi="Times New Roman" w:cs="Times New Roman"/>
          <w:b/>
          <w:sz w:val="28"/>
          <w:szCs w:val="28"/>
          <w:lang w:val="uk-UA"/>
        </w:rPr>
      </w:pPr>
      <w:r w:rsidRPr="00C67B41">
        <w:rPr>
          <w:rFonts w:ascii="Times New Roman" w:hAnsi="Times New Roman" w:cs="Times New Roman"/>
          <w:b/>
          <w:sz w:val="28"/>
          <w:szCs w:val="28"/>
          <w:lang w:val="uk-UA"/>
        </w:rPr>
        <w:t>Загальні показники доходів бюджету Лубенської міської територіальної громади</w:t>
      </w:r>
    </w:p>
    <w:p w:rsidR="00C67B41" w:rsidRPr="0025281B" w:rsidRDefault="00C67B41" w:rsidP="00C67B41">
      <w:pPr>
        <w:spacing w:after="0" w:line="240" w:lineRule="auto"/>
        <w:ind w:firstLine="708"/>
        <w:jc w:val="both"/>
        <w:rPr>
          <w:rFonts w:ascii="Times New Roman" w:hAnsi="Times New Roman" w:cs="Times New Roman"/>
          <w:sz w:val="24"/>
          <w:szCs w:val="24"/>
          <w:lang w:val="uk-UA"/>
        </w:rPr>
      </w:pPr>
      <w:r w:rsidRPr="00C67B41">
        <w:rPr>
          <w:rFonts w:ascii="Times New Roman" w:hAnsi="Times New Roman" w:cs="Times New Roman"/>
          <w:sz w:val="28"/>
          <w:szCs w:val="28"/>
          <w:lang w:val="uk-UA"/>
        </w:rPr>
        <w:t xml:space="preserve">            </w:t>
      </w:r>
      <w:r w:rsidRPr="00C67B41">
        <w:rPr>
          <w:rFonts w:ascii="Times New Roman" w:hAnsi="Times New Roman" w:cs="Times New Roman"/>
          <w:sz w:val="28"/>
          <w:szCs w:val="28"/>
          <w:lang w:val="uk-UA"/>
        </w:rPr>
        <w:tab/>
      </w:r>
      <w:r w:rsidRPr="00C67B41">
        <w:rPr>
          <w:rFonts w:ascii="Times New Roman" w:hAnsi="Times New Roman" w:cs="Times New Roman"/>
          <w:sz w:val="28"/>
          <w:szCs w:val="28"/>
          <w:lang w:val="uk-UA"/>
        </w:rPr>
        <w:tab/>
      </w:r>
      <w:r w:rsidRPr="00C67B41">
        <w:rPr>
          <w:rFonts w:ascii="Times New Roman" w:hAnsi="Times New Roman" w:cs="Times New Roman"/>
          <w:sz w:val="28"/>
          <w:szCs w:val="28"/>
          <w:lang w:val="uk-UA"/>
        </w:rPr>
        <w:tab/>
      </w:r>
      <w:r w:rsidRPr="00C67B41">
        <w:rPr>
          <w:rFonts w:ascii="Times New Roman" w:hAnsi="Times New Roman" w:cs="Times New Roman"/>
          <w:sz w:val="28"/>
          <w:szCs w:val="28"/>
          <w:lang w:val="uk-UA"/>
        </w:rPr>
        <w:tab/>
      </w:r>
      <w:r w:rsidRPr="00C67B41">
        <w:rPr>
          <w:rFonts w:ascii="Times New Roman" w:hAnsi="Times New Roman" w:cs="Times New Roman"/>
          <w:sz w:val="28"/>
          <w:szCs w:val="28"/>
          <w:lang w:val="uk-UA"/>
        </w:rPr>
        <w:tab/>
      </w:r>
      <w:r w:rsidRPr="00C67B41">
        <w:rPr>
          <w:rFonts w:ascii="Times New Roman" w:hAnsi="Times New Roman" w:cs="Times New Roman"/>
          <w:sz w:val="28"/>
          <w:szCs w:val="28"/>
          <w:lang w:val="uk-UA"/>
        </w:rPr>
        <w:tab/>
      </w:r>
      <w:r w:rsidRPr="00C67B41">
        <w:rPr>
          <w:rFonts w:ascii="Times New Roman" w:hAnsi="Times New Roman" w:cs="Times New Roman"/>
          <w:sz w:val="28"/>
          <w:szCs w:val="28"/>
          <w:lang w:val="uk-UA"/>
        </w:rPr>
        <w:tab/>
        <w:t xml:space="preserve"> </w:t>
      </w:r>
      <w:r w:rsidR="0025281B">
        <w:rPr>
          <w:rFonts w:ascii="Times New Roman" w:hAnsi="Times New Roman" w:cs="Times New Roman"/>
          <w:sz w:val="28"/>
          <w:szCs w:val="28"/>
          <w:lang w:val="uk-UA"/>
        </w:rPr>
        <w:t xml:space="preserve">                          </w:t>
      </w:r>
      <w:r w:rsidRPr="0025281B">
        <w:rPr>
          <w:rFonts w:ascii="Times New Roman" w:hAnsi="Times New Roman" w:cs="Times New Roman"/>
          <w:sz w:val="24"/>
          <w:szCs w:val="24"/>
          <w:lang w:val="uk-UA"/>
        </w:rPr>
        <w:t>тис.грн.</w:t>
      </w:r>
    </w:p>
    <w:tbl>
      <w:tblPr>
        <w:tblStyle w:val="a4"/>
        <w:tblW w:w="10273" w:type="dxa"/>
        <w:tblInd w:w="-459" w:type="dxa"/>
        <w:tblLayout w:type="fixed"/>
        <w:tblLook w:val="04A0" w:firstRow="1" w:lastRow="0" w:firstColumn="1" w:lastColumn="0" w:noHBand="0" w:noVBand="1"/>
      </w:tblPr>
      <w:tblGrid>
        <w:gridCol w:w="1843"/>
        <w:gridCol w:w="1134"/>
        <w:gridCol w:w="1048"/>
        <w:gridCol w:w="630"/>
        <w:gridCol w:w="1176"/>
        <w:gridCol w:w="1115"/>
        <w:gridCol w:w="550"/>
        <w:gridCol w:w="1162"/>
        <w:gridCol w:w="1092"/>
        <w:gridCol w:w="523"/>
      </w:tblGrid>
      <w:tr w:rsidR="00C67B41" w:rsidTr="009801A0">
        <w:tc>
          <w:tcPr>
            <w:tcW w:w="1843" w:type="dxa"/>
            <w:vMerge w:val="restart"/>
          </w:tcPr>
          <w:p w:rsidR="00C67B41" w:rsidRPr="007D6639" w:rsidRDefault="00C67B41" w:rsidP="00C67B41">
            <w:pPr>
              <w:jc w:val="both"/>
              <w:rPr>
                <w:rFonts w:ascii="Times New Roman" w:hAnsi="Times New Roman" w:cs="Times New Roman"/>
                <w:lang w:val="uk-UA"/>
              </w:rPr>
            </w:pPr>
            <w:r w:rsidRPr="007D6639">
              <w:rPr>
                <w:rFonts w:ascii="Times New Roman" w:hAnsi="Times New Roman" w:cs="Times New Roman"/>
                <w:lang w:val="uk-UA"/>
              </w:rPr>
              <w:t>Найменування показника</w:t>
            </w:r>
          </w:p>
        </w:tc>
        <w:tc>
          <w:tcPr>
            <w:tcW w:w="2812" w:type="dxa"/>
            <w:gridSpan w:val="3"/>
          </w:tcPr>
          <w:p w:rsidR="00C67B41" w:rsidRPr="007D6639" w:rsidRDefault="00C67B41" w:rsidP="00E26C44">
            <w:pPr>
              <w:jc w:val="center"/>
              <w:rPr>
                <w:rFonts w:ascii="Times New Roman" w:hAnsi="Times New Roman" w:cs="Times New Roman"/>
                <w:lang w:val="uk-UA"/>
              </w:rPr>
            </w:pPr>
            <w:r w:rsidRPr="007D6639">
              <w:rPr>
                <w:rFonts w:ascii="Times New Roman" w:hAnsi="Times New Roman" w:cs="Times New Roman"/>
                <w:lang w:val="uk-UA"/>
              </w:rPr>
              <w:t>2022 рік</w:t>
            </w:r>
          </w:p>
        </w:tc>
        <w:tc>
          <w:tcPr>
            <w:tcW w:w="2841" w:type="dxa"/>
            <w:gridSpan w:val="3"/>
          </w:tcPr>
          <w:p w:rsidR="00C67B41" w:rsidRPr="007D6639" w:rsidRDefault="00C67B41" w:rsidP="00E26C44">
            <w:pPr>
              <w:jc w:val="center"/>
              <w:rPr>
                <w:rFonts w:ascii="Times New Roman" w:hAnsi="Times New Roman" w:cs="Times New Roman"/>
                <w:lang w:val="uk-UA"/>
              </w:rPr>
            </w:pPr>
            <w:r w:rsidRPr="007D6639">
              <w:rPr>
                <w:rFonts w:ascii="Times New Roman" w:hAnsi="Times New Roman" w:cs="Times New Roman"/>
                <w:lang w:val="uk-UA"/>
              </w:rPr>
              <w:t>2023 рік</w:t>
            </w:r>
          </w:p>
        </w:tc>
        <w:tc>
          <w:tcPr>
            <w:tcW w:w="2777" w:type="dxa"/>
            <w:gridSpan w:val="3"/>
          </w:tcPr>
          <w:p w:rsidR="00C67B41" w:rsidRPr="007D6639" w:rsidRDefault="00C67B41" w:rsidP="00E26C44">
            <w:pPr>
              <w:jc w:val="center"/>
              <w:rPr>
                <w:rFonts w:ascii="Times New Roman" w:hAnsi="Times New Roman" w:cs="Times New Roman"/>
                <w:lang w:val="uk-UA"/>
              </w:rPr>
            </w:pPr>
            <w:r w:rsidRPr="007D6639">
              <w:rPr>
                <w:rFonts w:ascii="Times New Roman" w:hAnsi="Times New Roman" w:cs="Times New Roman"/>
                <w:lang w:val="uk-UA"/>
              </w:rPr>
              <w:t>2024 рік</w:t>
            </w:r>
          </w:p>
        </w:tc>
      </w:tr>
      <w:tr w:rsidR="009801A0" w:rsidTr="009801A0">
        <w:tc>
          <w:tcPr>
            <w:tcW w:w="1843" w:type="dxa"/>
            <w:vMerge/>
          </w:tcPr>
          <w:p w:rsidR="00C67B41" w:rsidRPr="007D6639" w:rsidRDefault="00C67B41" w:rsidP="00C67B41">
            <w:pPr>
              <w:jc w:val="both"/>
              <w:rPr>
                <w:rFonts w:ascii="Times New Roman" w:hAnsi="Times New Roman" w:cs="Times New Roman"/>
                <w:lang w:val="uk-UA"/>
              </w:rPr>
            </w:pPr>
          </w:p>
        </w:tc>
        <w:tc>
          <w:tcPr>
            <w:tcW w:w="1134" w:type="dxa"/>
            <w:vMerge w:val="restart"/>
          </w:tcPr>
          <w:p w:rsidR="00C67B41" w:rsidRPr="007D6639" w:rsidRDefault="00C67B41" w:rsidP="00CB5DB6">
            <w:pPr>
              <w:jc w:val="center"/>
              <w:rPr>
                <w:rFonts w:ascii="Times New Roman" w:hAnsi="Times New Roman" w:cs="Times New Roman"/>
                <w:lang w:val="uk-UA"/>
              </w:rPr>
            </w:pPr>
            <w:r w:rsidRPr="007D6639">
              <w:rPr>
                <w:rFonts w:ascii="Times New Roman" w:hAnsi="Times New Roman" w:cs="Times New Roman"/>
                <w:lang w:val="uk-UA"/>
              </w:rPr>
              <w:t>прогноз</w:t>
            </w:r>
          </w:p>
        </w:tc>
        <w:tc>
          <w:tcPr>
            <w:tcW w:w="1678" w:type="dxa"/>
            <w:gridSpan w:val="2"/>
          </w:tcPr>
          <w:p w:rsidR="00C67B41" w:rsidRPr="007D6639" w:rsidRDefault="00C67B41" w:rsidP="00C67B41">
            <w:pPr>
              <w:jc w:val="both"/>
              <w:rPr>
                <w:rFonts w:ascii="Times New Roman" w:hAnsi="Times New Roman" w:cs="Times New Roman"/>
                <w:lang w:val="uk-UA"/>
              </w:rPr>
            </w:pPr>
            <w:r w:rsidRPr="007D6639">
              <w:rPr>
                <w:rFonts w:ascii="Times New Roman" w:hAnsi="Times New Roman" w:cs="Times New Roman"/>
                <w:lang w:val="uk-UA"/>
              </w:rPr>
              <w:t>Відхилення до попереднього року</w:t>
            </w:r>
          </w:p>
        </w:tc>
        <w:tc>
          <w:tcPr>
            <w:tcW w:w="1176" w:type="dxa"/>
            <w:vMerge w:val="restart"/>
          </w:tcPr>
          <w:p w:rsidR="00C67B41" w:rsidRPr="007D6639" w:rsidRDefault="00C67B41" w:rsidP="00CB5DB6">
            <w:pPr>
              <w:jc w:val="center"/>
              <w:rPr>
                <w:rFonts w:ascii="Times New Roman" w:hAnsi="Times New Roman" w:cs="Times New Roman"/>
                <w:lang w:val="uk-UA"/>
              </w:rPr>
            </w:pPr>
            <w:r w:rsidRPr="007D6639">
              <w:rPr>
                <w:rFonts w:ascii="Times New Roman" w:hAnsi="Times New Roman" w:cs="Times New Roman"/>
                <w:lang w:val="uk-UA"/>
              </w:rPr>
              <w:t>прогноз</w:t>
            </w:r>
          </w:p>
        </w:tc>
        <w:tc>
          <w:tcPr>
            <w:tcW w:w="1665" w:type="dxa"/>
            <w:gridSpan w:val="2"/>
          </w:tcPr>
          <w:p w:rsidR="00C67B41" w:rsidRPr="007D6639" w:rsidRDefault="00C67B41" w:rsidP="00C67B41">
            <w:pPr>
              <w:jc w:val="both"/>
              <w:rPr>
                <w:rFonts w:ascii="Times New Roman" w:hAnsi="Times New Roman" w:cs="Times New Roman"/>
                <w:lang w:val="uk-UA"/>
              </w:rPr>
            </w:pPr>
            <w:r w:rsidRPr="007D6639">
              <w:rPr>
                <w:rFonts w:ascii="Times New Roman" w:hAnsi="Times New Roman" w:cs="Times New Roman"/>
                <w:lang w:val="uk-UA"/>
              </w:rPr>
              <w:t>Відхилення до попереднього року</w:t>
            </w:r>
          </w:p>
        </w:tc>
        <w:tc>
          <w:tcPr>
            <w:tcW w:w="1162" w:type="dxa"/>
            <w:vMerge w:val="restart"/>
          </w:tcPr>
          <w:p w:rsidR="00C67B41" w:rsidRPr="007D6639" w:rsidRDefault="00C67B41" w:rsidP="00CB5DB6">
            <w:pPr>
              <w:jc w:val="center"/>
              <w:rPr>
                <w:rFonts w:ascii="Times New Roman" w:hAnsi="Times New Roman" w:cs="Times New Roman"/>
                <w:lang w:val="uk-UA"/>
              </w:rPr>
            </w:pPr>
            <w:r w:rsidRPr="007D6639">
              <w:rPr>
                <w:rFonts w:ascii="Times New Roman" w:hAnsi="Times New Roman" w:cs="Times New Roman"/>
                <w:lang w:val="uk-UA"/>
              </w:rPr>
              <w:t>прогноз</w:t>
            </w:r>
          </w:p>
        </w:tc>
        <w:tc>
          <w:tcPr>
            <w:tcW w:w="1615" w:type="dxa"/>
            <w:gridSpan w:val="2"/>
          </w:tcPr>
          <w:p w:rsidR="00C67B41" w:rsidRPr="007D6639" w:rsidRDefault="00C67B41" w:rsidP="00C67B41">
            <w:pPr>
              <w:jc w:val="both"/>
              <w:rPr>
                <w:rFonts w:ascii="Times New Roman" w:hAnsi="Times New Roman" w:cs="Times New Roman"/>
                <w:lang w:val="uk-UA"/>
              </w:rPr>
            </w:pPr>
            <w:r w:rsidRPr="007D6639">
              <w:rPr>
                <w:rFonts w:ascii="Times New Roman" w:hAnsi="Times New Roman" w:cs="Times New Roman"/>
                <w:lang w:val="uk-UA"/>
              </w:rPr>
              <w:t>Відхилення до попереднього року</w:t>
            </w:r>
          </w:p>
        </w:tc>
      </w:tr>
      <w:tr w:rsidR="009801A0" w:rsidTr="009801A0">
        <w:tc>
          <w:tcPr>
            <w:tcW w:w="1843" w:type="dxa"/>
            <w:vMerge/>
          </w:tcPr>
          <w:p w:rsidR="00C67B41" w:rsidRPr="007D6639" w:rsidRDefault="00C67B41" w:rsidP="00C67B41">
            <w:pPr>
              <w:jc w:val="both"/>
              <w:rPr>
                <w:rFonts w:ascii="Times New Roman" w:hAnsi="Times New Roman" w:cs="Times New Roman"/>
                <w:lang w:val="uk-UA"/>
              </w:rPr>
            </w:pPr>
          </w:p>
        </w:tc>
        <w:tc>
          <w:tcPr>
            <w:tcW w:w="1134" w:type="dxa"/>
            <w:vMerge/>
          </w:tcPr>
          <w:p w:rsidR="00C67B41" w:rsidRPr="007D6639" w:rsidRDefault="00C67B41" w:rsidP="00C67B41">
            <w:pPr>
              <w:jc w:val="both"/>
              <w:rPr>
                <w:rFonts w:ascii="Times New Roman" w:hAnsi="Times New Roman" w:cs="Times New Roman"/>
                <w:lang w:val="uk-UA"/>
              </w:rPr>
            </w:pPr>
          </w:p>
        </w:tc>
        <w:tc>
          <w:tcPr>
            <w:tcW w:w="1048" w:type="dxa"/>
          </w:tcPr>
          <w:p w:rsidR="00C67B41" w:rsidRPr="007D6639" w:rsidRDefault="00C67B41" w:rsidP="00CC2745">
            <w:pPr>
              <w:tabs>
                <w:tab w:val="left" w:pos="794"/>
              </w:tabs>
              <w:jc w:val="center"/>
              <w:rPr>
                <w:rFonts w:ascii="Times New Roman" w:hAnsi="Times New Roman" w:cs="Times New Roman"/>
                <w:lang w:val="uk-UA"/>
              </w:rPr>
            </w:pPr>
            <w:r w:rsidRPr="007D6639">
              <w:rPr>
                <w:rFonts w:ascii="Times New Roman" w:hAnsi="Times New Roman" w:cs="Times New Roman"/>
                <w:lang w:val="uk-UA"/>
              </w:rPr>
              <w:t>+/-</w:t>
            </w:r>
          </w:p>
        </w:tc>
        <w:tc>
          <w:tcPr>
            <w:tcW w:w="630" w:type="dxa"/>
          </w:tcPr>
          <w:p w:rsidR="00C67B41" w:rsidRPr="007D6639" w:rsidRDefault="00C67B41" w:rsidP="00CC2745">
            <w:pPr>
              <w:jc w:val="center"/>
              <w:rPr>
                <w:rFonts w:ascii="Times New Roman" w:hAnsi="Times New Roman" w:cs="Times New Roman"/>
                <w:lang w:val="uk-UA"/>
              </w:rPr>
            </w:pPr>
            <w:r w:rsidRPr="007D6639">
              <w:rPr>
                <w:rFonts w:ascii="Times New Roman" w:hAnsi="Times New Roman" w:cs="Times New Roman"/>
                <w:lang w:val="uk-UA"/>
              </w:rPr>
              <w:t>%</w:t>
            </w:r>
          </w:p>
        </w:tc>
        <w:tc>
          <w:tcPr>
            <w:tcW w:w="1176" w:type="dxa"/>
            <w:vMerge/>
          </w:tcPr>
          <w:p w:rsidR="00C67B41" w:rsidRPr="007D6639" w:rsidRDefault="00C67B41" w:rsidP="00CC2745">
            <w:pPr>
              <w:jc w:val="center"/>
              <w:rPr>
                <w:rFonts w:ascii="Times New Roman" w:hAnsi="Times New Roman" w:cs="Times New Roman"/>
                <w:lang w:val="uk-UA"/>
              </w:rPr>
            </w:pPr>
          </w:p>
        </w:tc>
        <w:tc>
          <w:tcPr>
            <w:tcW w:w="1115" w:type="dxa"/>
          </w:tcPr>
          <w:p w:rsidR="00C67B41" w:rsidRPr="007D6639" w:rsidRDefault="00C67B41" w:rsidP="00CC2745">
            <w:pPr>
              <w:jc w:val="center"/>
              <w:rPr>
                <w:rFonts w:ascii="Times New Roman" w:hAnsi="Times New Roman" w:cs="Times New Roman"/>
                <w:lang w:val="uk-UA"/>
              </w:rPr>
            </w:pPr>
            <w:r w:rsidRPr="007D6639">
              <w:rPr>
                <w:rFonts w:ascii="Times New Roman" w:hAnsi="Times New Roman" w:cs="Times New Roman"/>
                <w:lang w:val="uk-UA"/>
              </w:rPr>
              <w:t>+/-</w:t>
            </w:r>
          </w:p>
        </w:tc>
        <w:tc>
          <w:tcPr>
            <w:tcW w:w="550" w:type="dxa"/>
          </w:tcPr>
          <w:p w:rsidR="00C67B41" w:rsidRPr="007D6639" w:rsidRDefault="00C67B41" w:rsidP="00CC2745">
            <w:pPr>
              <w:jc w:val="center"/>
              <w:rPr>
                <w:rFonts w:ascii="Times New Roman" w:hAnsi="Times New Roman" w:cs="Times New Roman"/>
                <w:lang w:val="uk-UA"/>
              </w:rPr>
            </w:pPr>
            <w:r w:rsidRPr="007D6639">
              <w:rPr>
                <w:rFonts w:ascii="Times New Roman" w:hAnsi="Times New Roman" w:cs="Times New Roman"/>
                <w:lang w:val="uk-UA"/>
              </w:rPr>
              <w:t>%</w:t>
            </w:r>
          </w:p>
        </w:tc>
        <w:tc>
          <w:tcPr>
            <w:tcW w:w="1162" w:type="dxa"/>
            <w:vMerge/>
          </w:tcPr>
          <w:p w:rsidR="00C67B41" w:rsidRPr="007D6639" w:rsidRDefault="00C67B41" w:rsidP="00CC2745">
            <w:pPr>
              <w:jc w:val="center"/>
              <w:rPr>
                <w:rFonts w:ascii="Times New Roman" w:hAnsi="Times New Roman" w:cs="Times New Roman"/>
                <w:lang w:val="uk-UA"/>
              </w:rPr>
            </w:pPr>
          </w:p>
        </w:tc>
        <w:tc>
          <w:tcPr>
            <w:tcW w:w="1092" w:type="dxa"/>
          </w:tcPr>
          <w:p w:rsidR="00C67B41" w:rsidRPr="007D6639" w:rsidRDefault="00C67B41" w:rsidP="00CC2745">
            <w:pPr>
              <w:jc w:val="center"/>
              <w:rPr>
                <w:rFonts w:ascii="Times New Roman" w:hAnsi="Times New Roman" w:cs="Times New Roman"/>
                <w:lang w:val="uk-UA"/>
              </w:rPr>
            </w:pPr>
            <w:r w:rsidRPr="007D6639">
              <w:rPr>
                <w:rFonts w:ascii="Times New Roman" w:hAnsi="Times New Roman" w:cs="Times New Roman"/>
                <w:lang w:val="uk-UA"/>
              </w:rPr>
              <w:t>+/-</w:t>
            </w:r>
          </w:p>
        </w:tc>
        <w:tc>
          <w:tcPr>
            <w:tcW w:w="523" w:type="dxa"/>
          </w:tcPr>
          <w:p w:rsidR="00C67B41" w:rsidRPr="007D6639" w:rsidRDefault="00C67B41" w:rsidP="00C67B41">
            <w:pPr>
              <w:jc w:val="both"/>
              <w:rPr>
                <w:rFonts w:ascii="Times New Roman" w:hAnsi="Times New Roman" w:cs="Times New Roman"/>
                <w:lang w:val="uk-UA"/>
              </w:rPr>
            </w:pPr>
            <w:r w:rsidRPr="007D6639">
              <w:rPr>
                <w:rFonts w:ascii="Times New Roman" w:hAnsi="Times New Roman" w:cs="Times New Roman"/>
                <w:lang w:val="uk-UA"/>
              </w:rPr>
              <w:t>%</w:t>
            </w:r>
          </w:p>
        </w:tc>
      </w:tr>
      <w:tr w:rsidR="009801A0" w:rsidTr="009801A0">
        <w:tc>
          <w:tcPr>
            <w:tcW w:w="1843" w:type="dxa"/>
          </w:tcPr>
          <w:p w:rsidR="00C67B41" w:rsidRPr="007D6639" w:rsidRDefault="00C67B41" w:rsidP="00C67B41">
            <w:pPr>
              <w:jc w:val="both"/>
              <w:rPr>
                <w:rFonts w:ascii="Times New Roman" w:hAnsi="Times New Roman" w:cs="Times New Roman"/>
                <w:lang w:val="uk-UA"/>
              </w:rPr>
            </w:pPr>
            <w:r w:rsidRPr="007D6639">
              <w:rPr>
                <w:rFonts w:ascii="Times New Roman" w:hAnsi="Times New Roman" w:cs="Times New Roman"/>
                <w:lang w:val="uk-UA"/>
              </w:rPr>
              <w:t>Бюджет Лубенської міської територіальної громади (без урахування міжбюджетних трансфертів)</w:t>
            </w:r>
          </w:p>
        </w:tc>
        <w:tc>
          <w:tcPr>
            <w:tcW w:w="1134" w:type="dxa"/>
          </w:tcPr>
          <w:p w:rsidR="00C67B41" w:rsidRPr="007D6639" w:rsidRDefault="007D6639" w:rsidP="009801A0">
            <w:pPr>
              <w:jc w:val="center"/>
              <w:rPr>
                <w:rFonts w:ascii="Times New Roman" w:hAnsi="Times New Roman" w:cs="Times New Roman"/>
                <w:lang w:val="uk-UA"/>
              </w:rPr>
            </w:pPr>
            <w:r>
              <w:rPr>
                <w:rFonts w:ascii="Times New Roman" w:hAnsi="Times New Roman" w:cs="Times New Roman"/>
                <w:lang w:val="uk-UA"/>
              </w:rPr>
              <w:t>416 735,1</w:t>
            </w:r>
          </w:p>
        </w:tc>
        <w:tc>
          <w:tcPr>
            <w:tcW w:w="1048" w:type="dxa"/>
          </w:tcPr>
          <w:p w:rsidR="00C67B41" w:rsidRPr="007D6639" w:rsidRDefault="00F6639C" w:rsidP="009801A0">
            <w:pPr>
              <w:jc w:val="center"/>
              <w:rPr>
                <w:rFonts w:ascii="Times New Roman" w:hAnsi="Times New Roman" w:cs="Times New Roman"/>
                <w:lang w:val="uk-UA"/>
              </w:rPr>
            </w:pPr>
            <w:r>
              <w:rPr>
                <w:rFonts w:ascii="Times New Roman" w:hAnsi="Times New Roman" w:cs="Times New Roman"/>
                <w:lang w:val="uk-UA"/>
              </w:rPr>
              <w:t>54 922,6</w:t>
            </w:r>
          </w:p>
        </w:tc>
        <w:tc>
          <w:tcPr>
            <w:tcW w:w="630" w:type="dxa"/>
          </w:tcPr>
          <w:p w:rsidR="00C67B41" w:rsidRPr="007D6639" w:rsidRDefault="00F6639C" w:rsidP="009801A0">
            <w:pPr>
              <w:jc w:val="center"/>
              <w:rPr>
                <w:rFonts w:ascii="Times New Roman" w:hAnsi="Times New Roman" w:cs="Times New Roman"/>
                <w:lang w:val="uk-UA"/>
              </w:rPr>
            </w:pPr>
            <w:r>
              <w:rPr>
                <w:rFonts w:ascii="Times New Roman" w:hAnsi="Times New Roman" w:cs="Times New Roman"/>
                <w:lang w:val="uk-UA"/>
              </w:rPr>
              <w:t>15,2</w:t>
            </w:r>
          </w:p>
        </w:tc>
        <w:tc>
          <w:tcPr>
            <w:tcW w:w="1176" w:type="dxa"/>
          </w:tcPr>
          <w:p w:rsidR="00C67B41" w:rsidRPr="007D6639" w:rsidRDefault="007D6639" w:rsidP="009801A0">
            <w:pPr>
              <w:jc w:val="center"/>
              <w:rPr>
                <w:rFonts w:ascii="Times New Roman" w:hAnsi="Times New Roman" w:cs="Times New Roman"/>
                <w:lang w:val="uk-UA"/>
              </w:rPr>
            </w:pPr>
            <w:r>
              <w:rPr>
                <w:rFonts w:ascii="Times New Roman" w:hAnsi="Times New Roman" w:cs="Times New Roman"/>
                <w:lang w:val="uk-UA"/>
              </w:rPr>
              <w:t>447</w:t>
            </w:r>
            <w:r w:rsidR="00F6639C">
              <w:rPr>
                <w:rFonts w:ascii="Times New Roman" w:hAnsi="Times New Roman" w:cs="Times New Roman"/>
                <w:lang w:val="uk-UA"/>
              </w:rPr>
              <w:t xml:space="preserve"> </w:t>
            </w:r>
            <w:r>
              <w:rPr>
                <w:rFonts w:ascii="Times New Roman" w:hAnsi="Times New Roman" w:cs="Times New Roman"/>
                <w:lang w:val="uk-UA"/>
              </w:rPr>
              <w:t xml:space="preserve"> 933,0</w:t>
            </w:r>
          </w:p>
        </w:tc>
        <w:tc>
          <w:tcPr>
            <w:tcW w:w="1115" w:type="dxa"/>
          </w:tcPr>
          <w:p w:rsidR="00C67B41" w:rsidRPr="007D6639" w:rsidRDefault="00F6639C" w:rsidP="009801A0">
            <w:pPr>
              <w:jc w:val="center"/>
              <w:rPr>
                <w:rFonts w:ascii="Times New Roman" w:hAnsi="Times New Roman" w:cs="Times New Roman"/>
                <w:lang w:val="uk-UA"/>
              </w:rPr>
            </w:pPr>
            <w:r>
              <w:rPr>
                <w:rFonts w:ascii="Times New Roman" w:hAnsi="Times New Roman" w:cs="Times New Roman"/>
                <w:lang w:val="uk-UA"/>
              </w:rPr>
              <w:t>31 197,9</w:t>
            </w:r>
          </w:p>
        </w:tc>
        <w:tc>
          <w:tcPr>
            <w:tcW w:w="550" w:type="dxa"/>
          </w:tcPr>
          <w:p w:rsidR="00C67B41" w:rsidRPr="007D6639" w:rsidRDefault="00F6639C" w:rsidP="009801A0">
            <w:pPr>
              <w:jc w:val="center"/>
              <w:rPr>
                <w:rFonts w:ascii="Times New Roman" w:hAnsi="Times New Roman" w:cs="Times New Roman"/>
                <w:lang w:val="uk-UA"/>
              </w:rPr>
            </w:pPr>
            <w:r>
              <w:rPr>
                <w:rFonts w:ascii="Times New Roman" w:hAnsi="Times New Roman" w:cs="Times New Roman"/>
                <w:lang w:val="uk-UA"/>
              </w:rPr>
              <w:t>7,5</w:t>
            </w:r>
          </w:p>
        </w:tc>
        <w:tc>
          <w:tcPr>
            <w:tcW w:w="1162" w:type="dxa"/>
          </w:tcPr>
          <w:p w:rsidR="00C67B41" w:rsidRDefault="007D6639" w:rsidP="009801A0">
            <w:pPr>
              <w:jc w:val="center"/>
              <w:rPr>
                <w:rFonts w:ascii="Times New Roman" w:hAnsi="Times New Roman" w:cs="Times New Roman"/>
                <w:lang w:val="uk-UA"/>
              </w:rPr>
            </w:pPr>
            <w:r>
              <w:rPr>
                <w:rFonts w:ascii="Times New Roman" w:hAnsi="Times New Roman" w:cs="Times New Roman"/>
                <w:lang w:val="uk-UA"/>
              </w:rPr>
              <w:t>473 116,0</w:t>
            </w:r>
          </w:p>
          <w:p w:rsidR="007D6639" w:rsidRPr="007D6639" w:rsidRDefault="007D6639" w:rsidP="009801A0">
            <w:pPr>
              <w:jc w:val="center"/>
              <w:rPr>
                <w:rFonts w:ascii="Times New Roman" w:hAnsi="Times New Roman" w:cs="Times New Roman"/>
                <w:lang w:val="uk-UA"/>
              </w:rPr>
            </w:pPr>
          </w:p>
        </w:tc>
        <w:tc>
          <w:tcPr>
            <w:tcW w:w="1092" w:type="dxa"/>
          </w:tcPr>
          <w:p w:rsidR="00C67B41" w:rsidRPr="007D6639" w:rsidRDefault="00F6639C" w:rsidP="009801A0">
            <w:pPr>
              <w:jc w:val="center"/>
              <w:rPr>
                <w:rFonts w:ascii="Times New Roman" w:hAnsi="Times New Roman" w:cs="Times New Roman"/>
                <w:lang w:val="uk-UA"/>
              </w:rPr>
            </w:pPr>
            <w:r>
              <w:rPr>
                <w:rFonts w:ascii="Times New Roman" w:hAnsi="Times New Roman" w:cs="Times New Roman"/>
                <w:lang w:val="uk-UA"/>
              </w:rPr>
              <w:t>25 183,0</w:t>
            </w:r>
          </w:p>
        </w:tc>
        <w:tc>
          <w:tcPr>
            <w:tcW w:w="523" w:type="dxa"/>
          </w:tcPr>
          <w:p w:rsidR="00C67B41" w:rsidRPr="007D6639" w:rsidRDefault="00F6639C" w:rsidP="009801A0">
            <w:pPr>
              <w:jc w:val="center"/>
              <w:rPr>
                <w:rFonts w:ascii="Times New Roman" w:hAnsi="Times New Roman" w:cs="Times New Roman"/>
                <w:lang w:val="uk-UA"/>
              </w:rPr>
            </w:pPr>
            <w:r>
              <w:rPr>
                <w:rFonts w:ascii="Times New Roman" w:hAnsi="Times New Roman" w:cs="Times New Roman"/>
                <w:lang w:val="uk-UA"/>
              </w:rPr>
              <w:t>5,6</w:t>
            </w:r>
          </w:p>
        </w:tc>
      </w:tr>
      <w:tr w:rsidR="009801A0" w:rsidTr="009801A0">
        <w:tc>
          <w:tcPr>
            <w:tcW w:w="1843" w:type="dxa"/>
          </w:tcPr>
          <w:p w:rsidR="009801A0" w:rsidRDefault="003A5B35" w:rsidP="003A5B35">
            <w:pPr>
              <w:rPr>
                <w:rFonts w:ascii="Times New Roman" w:hAnsi="Times New Roman" w:cs="Times New Roman"/>
                <w:i/>
                <w:lang w:val="uk-UA"/>
              </w:rPr>
            </w:pPr>
            <w:r>
              <w:rPr>
                <w:rFonts w:ascii="Times New Roman" w:hAnsi="Times New Roman" w:cs="Times New Roman"/>
                <w:i/>
                <w:lang w:val="uk-UA"/>
              </w:rPr>
              <w:t>в т.ч.</w:t>
            </w:r>
            <w:r w:rsidR="006505F7">
              <w:rPr>
                <w:rFonts w:ascii="Times New Roman" w:hAnsi="Times New Roman" w:cs="Times New Roman"/>
                <w:i/>
                <w:lang w:val="uk-UA"/>
              </w:rPr>
              <w:t>:</w:t>
            </w:r>
            <w:r>
              <w:rPr>
                <w:rFonts w:ascii="Times New Roman" w:hAnsi="Times New Roman" w:cs="Times New Roman"/>
                <w:i/>
                <w:lang w:val="uk-UA"/>
              </w:rPr>
              <w:t xml:space="preserve"> </w:t>
            </w:r>
          </w:p>
          <w:p w:rsidR="009801A0" w:rsidRDefault="009801A0" w:rsidP="003A5B35">
            <w:pPr>
              <w:rPr>
                <w:rFonts w:ascii="Times New Roman" w:hAnsi="Times New Roman" w:cs="Times New Roman"/>
                <w:i/>
                <w:lang w:val="uk-UA"/>
              </w:rPr>
            </w:pPr>
          </w:p>
          <w:p w:rsidR="00C67B41" w:rsidRPr="007D6639" w:rsidRDefault="007D6639" w:rsidP="003A5B35">
            <w:pPr>
              <w:rPr>
                <w:rFonts w:ascii="Times New Roman" w:hAnsi="Times New Roman" w:cs="Times New Roman"/>
                <w:i/>
                <w:lang w:val="uk-UA"/>
              </w:rPr>
            </w:pPr>
            <w:r w:rsidRPr="007D6639">
              <w:rPr>
                <w:rFonts w:ascii="Times New Roman" w:hAnsi="Times New Roman" w:cs="Times New Roman"/>
                <w:i/>
                <w:lang w:val="uk-UA"/>
              </w:rPr>
              <w:t>Загальний фонд</w:t>
            </w:r>
          </w:p>
        </w:tc>
        <w:tc>
          <w:tcPr>
            <w:tcW w:w="1134" w:type="dxa"/>
          </w:tcPr>
          <w:p w:rsidR="009801A0" w:rsidRDefault="009801A0" w:rsidP="009801A0">
            <w:pPr>
              <w:jc w:val="center"/>
              <w:rPr>
                <w:rFonts w:ascii="Times New Roman" w:hAnsi="Times New Roman" w:cs="Times New Roman"/>
                <w:i/>
                <w:lang w:val="uk-UA"/>
              </w:rPr>
            </w:pPr>
          </w:p>
          <w:p w:rsidR="009801A0" w:rsidRDefault="009801A0" w:rsidP="009801A0">
            <w:pPr>
              <w:jc w:val="center"/>
              <w:rPr>
                <w:rFonts w:ascii="Times New Roman" w:hAnsi="Times New Roman" w:cs="Times New Roman"/>
                <w:i/>
                <w:lang w:val="uk-UA"/>
              </w:rPr>
            </w:pPr>
          </w:p>
          <w:p w:rsidR="00C67B41" w:rsidRPr="007D6639" w:rsidRDefault="00C67B41" w:rsidP="009801A0">
            <w:pPr>
              <w:jc w:val="center"/>
              <w:rPr>
                <w:rFonts w:ascii="Times New Roman" w:hAnsi="Times New Roman" w:cs="Times New Roman"/>
                <w:i/>
                <w:lang w:val="uk-UA"/>
              </w:rPr>
            </w:pPr>
            <w:r w:rsidRPr="007D6639">
              <w:rPr>
                <w:rFonts w:ascii="Times New Roman" w:hAnsi="Times New Roman" w:cs="Times New Roman"/>
                <w:i/>
                <w:lang w:val="uk-UA"/>
              </w:rPr>
              <w:t>407</w:t>
            </w:r>
            <w:r w:rsidR="007D6639" w:rsidRPr="007D6639">
              <w:rPr>
                <w:rFonts w:ascii="Times New Roman" w:hAnsi="Times New Roman" w:cs="Times New Roman"/>
                <w:i/>
                <w:lang w:val="uk-UA"/>
              </w:rPr>
              <w:t xml:space="preserve"> </w:t>
            </w:r>
            <w:r w:rsidRPr="007D6639">
              <w:rPr>
                <w:rFonts w:ascii="Times New Roman" w:hAnsi="Times New Roman" w:cs="Times New Roman"/>
                <w:i/>
                <w:lang w:val="uk-UA"/>
              </w:rPr>
              <w:t>571,8</w:t>
            </w:r>
          </w:p>
        </w:tc>
        <w:tc>
          <w:tcPr>
            <w:tcW w:w="1048" w:type="dxa"/>
          </w:tcPr>
          <w:p w:rsidR="009801A0" w:rsidRDefault="009801A0" w:rsidP="009801A0">
            <w:pPr>
              <w:jc w:val="center"/>
              <w:rPr>
                <w:rFonts w:ascii="Times New Roman" w:hAnsi="Times New Roman" w:cs="Times New Roman"/>
                <w:i/>
                <w:lang w:val="uk-UA"/>
              </w:rPr>
            </w:pPr>
          </w:p>
          <w:p w:rsidR="009801A0" w:rsidRDefault="009801A0" w:rsidP="009801A0">
            <w:pPr>
              <w:jc w:val="center"/>
              <w:rPr>
                <w:rFonts w:ascii="Times New Roman" w:hAnsi="Times New Roman" w:cs="Times New Roman"/>
                <w:i/>
                <w:lang w:val="uk-UA"/>
              </w:rPr>
            </w:pPr>
          </w:p>
          <w:p w:rsidR="00C67B41" w:rsidRPr="007D6639" w:rsidRDefault="007D6639" w:rsidP="009801A0">
            <w:pPr>
              <w:jc w:val="center"/>
              <w:rPr>
                <w:rFonts w:ascii="Times New Roman" w:hAnsi="Times New Roman" w:cs="Times New Roman"/>
                <w:i/>
                <w:lang w:val="uk-UA"/>
              </w:rPr>
            </w:pPr>
            <w:r>
              <w:rPr>
                <w:rFonts w:ascii="Times New Roman" w:hAnsi="Times New Roman" w:cs="Times New Roman"/>
                <w:i/>
                <w:lang w:val="uk-UA"/>
              </w:rPr>
              <w:t>57 609,6</w:t>
            </w:r>
          </w:p>
        </w:tc>
        <w:tc>
          <w:tcPr>
            <w:tcW w:w="630" w:type="dxa"/>
          </w:tcPr>
          <w:p w:rsidR="009801A0" w:rsidRDefault="009801A0" w:rsidP="009801A0">
            <w:pPr>
              <w:jc w:val="center"/>
              <w:rPr>
                <w:rFonts w:ascii="Times New Roman" w:hAnsi="Times New Roman" w:cs="Times New Roman"/>
                <w:i/>
                <w:lang w:val="uk-UA"/>
              </w:rPr>
            </w:pPr>
          </w:p>
          <w:p w:rsidR="009801A0" w:rsidRDefault="009801A0" w:rsidP="009801A0">
            <w:pPr>
              <w:jc w:val="center"/>
              <w:rPr>
                <w:rFonts w:ascii="Times New Roman" w:hAnsi="Times New Roman" w:cs="Times New Roman"/>
                <w:i/>
                <w:lang w:val="uk-UA"/>
              </w:rPr>
            </w:pPr>
          </w:p>
          <w:p w:rsidR="00C67B41" w:rsidRPr="007D6639" w:rsidRDefault="007D6639" w:rsidP="009801A0">
            <w:pPr>
              <w:jc w:val="center"/>
              <w:rPr>
                <w:rFonts w:ascii="Times New Roman" w:hAnsi="Times New Roman" w:cs="Times New Roman"/>
                <w:i/>
                <w:lang w:val="uk-UA"/>
              </w:rPr>
            </w:pPr>
            <w:r>
              <w:rPr>
                <w:rFonts w:ascii="Times New Roman" w:hAnsi="Times New Roman" w:cs="Times New Roman"/>
                <w:i/>
                <w:lang w:val="uk-UA"/>
              </w:rPr>
              <w:t>16,5</w:t>
            </w:r>
          </w:p>
        </w:tc>
        <w:tc>
          <w:tcPr>
            <w:tcW w:w="1176" w:type="dxa"/>
          </w:tcPr>
          <w:p w:rsidR="009801A0" w:rsidRDefault="009801A0" w:rsidP="009801A0">
            <w:pPr>
              <w:jc w:val="center"/>
              <w:rPr>
                <w:rFonts w:ascii="Times New Roman" w:hAnsi="Times New Roman" w:cs="Times New Roman"/>
                <w:i/>
                <w:lang w:val="uk-UA"/>
              </w:rPr>
            </w:pPr>
          </w:p>
          <w:p w:rsidR="009801A0" w:rsidRDefault="009801A0" w:rsidP="009801A0">
            <w:pPr>
              <w:jc w:val="center"/>
              <w:rPr>
                <w:rFonts w:ascii="Times New Roman" w:hAnsi="Times New Roman" w:cs="Times New Roman"/>
                <w:i/>
                <w:lang w:val="uk-UA"/>
              </w:rPr>
            </w:pPr>
          </w:p>
          <w:p w:rsidR="00C67B41" w:rsidRPr="007D6639" w:rsidRDefault="007D6639" w:rsidP="009801A0">
            <w:pPr>
              <w:jc w:val="center"/>
              <w:rPr>
                <w:rFonts w:ascii="Times New Roman" w:hAnsi="Times New Roman" w:cs="Times New Roman"/>
                <w:i/>
                <w:lang w:val="uk-UA"/>
              </w:rPr>
            </w:pPr>
            <w:r w:rsidRPr="007D6639">
              <w:rPr>
                <w:rFonts w:ascii="Times New Roman" w:hAnsi="Times New Roman" w:cs="Times New Roman"/>
                <w:i/>
                <w:lang w:val="uk-UA"/>
              </w:rPr>
              <w:t>438 309,7</w:t>
            </w:r>
          </w:p>
        </w:tc>
        <w:tc>
          <w:tcPr>
            <w:tcW w:w="1115" w:type="dxa"/>
          </w:tcPr>
          <w:p w:rsidR="009801A0" w:rsidRDefault="009801A0" w:rsidP="009801A0">
            <w:pPr>
              <w:jc w:val="center"/>
              <w:rPr>
                <w:rFonts w:ascii="Times New Roman" w:hAnsi="Times New Roman" w:cs="Times New Roman"/>
                <w:i/>
                <w:lang w:val="uk-UA"/>
              </w:rPr>
            </w:pPr>
          </w:p>
          <w:p w:rsidR="009801A0" w:rsidRDefault="009801A0" w:rsidP="009801A0">
            <w:pPr>
              <w:jc w:val="center"/>
              <w:rPr>
                <w:rFonts w:ascii="Times New Roman" w:hAnsi="Times New Roman" w:cs="Times New Roman"/>
                <w:i/>
                <w:lang w:val="uk-UA"/>
              </w:rPr>
            </w:pPr>
          </w:p>
          <w:p w:rsidR="00C67B41" w:rsidRPr="007D6639" w:rsidRDefault="007D6639" w:rsidP="009801A0">
            <w:pPr>
              <w:jc w:val="center"/>
              <w:rPr>
                <w:rFonts w:ascii="Times New Roman" w:hAnsi="Times New Roman" w:cs="Times New Roman"/>
                <w:i/>
                <w:lang w:val="uk-UA"/>
              </w:rPr>
            </w:pPr>
            <w:r>
              <w:rPr>
                <w:rFonts w:ascii="Times New Roman" w:hAnsi="Times New Roman" w:cs="Times New Roman"/>
                <w:i/>
                <w:lang w:val="uk-UA"/>
              </w:rPr>
              <w:t>30737,9</w:t>
            </w:r>
          </w:p>
        </w:tc>
        <w:tc>
          <w:tcPr>
            <w:tcW w:w="550" w:type="dxa"/>
          </w:tcPr>
          <w:p w:rsidR="009801A0" w:rsidRDefault="009801A0" w:rsidP="009801A0">
            <w:pPr>
              <w:jc w:val="center"/>
              <w:rPr>
                <w:rFonts w:ascii="Times New Roman" w:hAnsi="Times New Roman" w:cs="Times New Roman"/>
                <w:i/>
                <w:lang w:val="uk-UA"/>
              </w:rPr>
            </w:pPr>
          </w:p>
          <w:p w:rsidR="009801A0" w:rsidRDefault="009801A0" w:rsidP="009801A0">
            <w:pPr>
              <w:jc w:val="center"/>
              <w:rPr>
                <w:rFonts w:ascii="Times New Roman" w:hAnsi="Times New Roman" w:cs="Times New Roman"/>
                <w:i/>
                <w:lang w:val="uk-UA"/>
              </w:rPr>
            </w:pPr>
          </w:p>
          <w:p w:rsidR="00C67B41" w:rsidRPr="007D6639" w:rsidRDefault="007D6639" w:rsidP="009801A0">
            <w:pPr>
              <w:jc w:val="center"/>
              <w:rPr>
                <w:rFonts w:ascii="Times New Roman" w:hAnsi="Times New Roman" w:cs="Times New Roman"/>
                <w:i/>
                <w:lang w:val="uk-UA"/>
              </w:rPr>
            </w:pPr>
            <w:r>
              <w:rPr>
                <w:rFonts w:ascii="Times New Roman" w:hAnsi="Times New Roman" w:cs="Times New Roman"/>
                <w:i/>
                <w:lang w:val="uk-UA"/>
              </w:rPr>
              <w:t>7,5</w:t>
            </w:r>
          </w:p>
        </w:tc>
        <w:tc>
          <w:tcPr>
            <w:tcW w:w="1162" w:type="dxa"/>
          </w:tcPr>
          <w:p w:rsidR="009801A0" w:rsidRDefault="009801A0" w:rsidP="009801A0">
            <w:pPr>
              <w:jc w:val="center"/>
              <w:rPr>
                <w:rFonts w:ascii="Times New Roman" w:hAnsi="Times New Roman" w:cs="Times New Roman"/>
                <w:i/>
                <w:lang w:val="uk-UA"/>
              </w:rPr>
            </w:pPr>
          </w:p>
          <w:p w:rsidR="009801A0" w:rsidRDefault="009801A0" w:rsidP="009801A0">
            <w:pPr>
              <w:jc w:val="center"/>
              <w:rPr>
                <w:rFonts w:ascii="Times New Roman" w:hAnsi="Times New Roman" w:cs="Times New Roman"/>
                <w:i/>
                <w:lang w:val="uk-UA"/>
              </w:rPr>
            </w:pPr>
          </w:p>
          <w:p w:rsidR="00C67B41" w:rsidRPr="007D6639" w:rsidRDefault="007D6639" w:rsidP="009801A0">
            <w:pPr>
              <w:jc w:val="center"/>
              <w:rPr>
                <w:rFonts w:ascii="Times New Roman" w:hAnsi="Times New Roman" w:cs="Times New Roman"/>
                <w:i/>
                <w:lang w:val="uk-UA"/>
              </w:rPr>
            </w:pPr>
            <w:r w:rsidRPr="007D6639">
              <w:rPr>
                <w:rFonts w:ascii="Times New Roman" w:hAnsi="Times New Roman" w:cs="Times New Roman"/>
                <w:i/>
                <w:lang w:val="uk-UA"/>
              </w:rPr>
              <w:t>463 031,9</w:t>
            </w:r>
          </w:p>
        </w:tc>
        <w:tc>
          <w:tcPr>
            <w:tcW w:w="1092" w:type="dxa"/>
          </w:tcPr>
          <w:p w:rsidR="009801A0" w:rsidRDefault="009801A0" w:rsidP="009801A0">
            <w:pPr>
              <w:jc w:val="center"/>
              <w:rPr>
                <w:rFonts w:ascii="Times New Roman" w:hAnsi="Times New Roman" w:cs="Times New Roman"/>
                <w:i/>
                <w:lang w:val="uk-UA"/>
              </w:rPr>
            </w:pPr>
          </w:p>
          <w:p w:rsidR="009801A0" w:rsidRDefault="009801A0" w:rsidP="009801A0">
            <w:pPr>
              <w:jc w:val="center"/>
              <w:rPr>
                <w:rFonts w:ascii="Times New Roman" w:hAnsi="Times New Roman" w:cs="Times New Roman"/>
                <w:i/>
                <w:lang w:val="uk-UA"/>
              </w:rPr>
            </w:pPr>
          </w:p>
          <w:p w:rsidR="00C67B41" w:rsidRPr="007D6639" w:rsidRDefault="007D6639" w:rsidP="009801A0">
            <w:pPr>
              <w:jc w:val="center"/>
              <w:rPr>
                <w:rFonts w:ascii="Times New Roman" w:hAnsi="Times New Roman" w:cs="Times New Roman"/>
                <w:i/>
                <w:lang w:val="uk-UA"/>
              </w:rPr>
            </w:pPr>
            <w:r>
              <w:rPr>
                <w:rFonts w:ascii="Times New Roman" w:hAnsi="Times New Roman" w:cs="Times New Roman"/>
                <w:i/>
                <w:lang w:val="uk-UA"/>
              </w:rPr>
              <w:t>24722,2</w:t>
            </w:r>
          </w:p>
        </w:tc>
        <w:tc>
          <w:tcPr>
            <w:tcW w:w="523" w:type="dxa"/>
          </w:tcPr>
          <w:p w:rsidR="009801A0" w:rsidRDefault="009801A0" w:rsidP="009801A0">
            <w:pPr>
              <w:jc w:val="center"/>
              <w:rPr>
                <w:rFonts w:ascii="Times New Roman" w:hAnsi="Times New Roman" w:cs="Times New Roman"/>
                <w:i/>
                <w:lang w:val="uk-UA"/>
              </w:rPr>
            </w:pPr>
          </w:p>
          <w:p w:rsidR="009801A0" w:rsidRDefault="009801A0" w:rsidP="009801A0">
            <w:pPr>
              <w:jc w:val="center"/>
              <w:rPr>
                <w:rFonts w:ascii="Times New Roman" w:hAnsi="Times New Roman" w:cs="Times New Roman"/>
                <w:i/>
                <w:lang w:val="uk-UA"/>
              </w:rPr>
            </w:pPr>
          </w:p>
          <w:p w:rsidR="00C67B41" w:rsidRPr="007D6639" w:rsidRDefault="007D6639" w:rsidP="009801A0">
            <w:pPr>
              <w:jc w:val="center"/>
              <w:rPr>
                <w:rFonts w:ascii="Times New Roman" w:hAnsi="Times New Roman" w:cs="Times New Roman"/>
                <w:i/>
                <w:lang w:val="uk-UA"/>
              </w:rPr>
            </w:pPr>
            <w:r>
              <w:rPr>
                <w:rFonts w:ascii="Times New Roman" w:hAnsi="Times New Roman" w:cs="Times New Roman"/>
                <w:i/>
                <w:lang w:val="uk-UA"/>
              </w:rPr>
              <w:t>5,6</w:t>
            </w:r>
          </w:p>
        </w:tc>
      </w:tr>
      <w:tr w:rsidR="009801A0" w:rsidTr="009801A0">
        <w:tc>
          <w:tcPr>
            <w:tcW w:w="1843" w:type="dxa"/>
          </w:tcPr>
          <w:p w:rsidR="00C67B41" w:rsidRPr="007D6639" w:rsidRDefault="003A5B35" w:rsidP="003A5B35">
            <w:pPr>
              <w:jc w:val="both"/>
              <w:rPr>
                <w:rFonts w:ascii="Times New Roman" w:hAnsi="Times New Roman" w:cs="Times New Roman"/>
                <w:i/>
                <w:lang w:val="uk-UA"/>
              </w:rPr>
            </w:pPr>
            <w:r>
              <w:rPr>
                <w:rFonts w:ascii="Times New Roman" w:hAnsi="Times New Roman" w:cs="Times New Roman"/>
                <w:i/>
                <w:lang w:val="uk-UA"/>
              </w:rPr>
              <w:t>С</w:t>
            </w:r>
            <w:r w:rsidR="007D6639" w:rsidRPr="007D6639">
              <w:rPr>
                <w:rFonts w:ascii="Times New Roman" w:hAnsi="Times New Roman" w:cs="Times New Roman"/>
                <w:i/>
                <w:lang w:val="uk-UA"/>
              </w:rPr>
              <w:t>пеціальний фонд</w:t>
            </w:r>
          </w:p>
        </w:tc>
        <w:tc>
          <w:tcPr>
            <w:tcW w:w="1134" w:type="dxa"/>
          </w:tcPr>
          <w:p w:rsidR="00C67B41" w:rsidRPr="007D6639" w:rsidRDefault="007D6639" w:rsidP="009801A0">
            <w:pPr>
              <w:jc w:val="center"/>
              <w:rPr>
                <w:rFonts w:ascii="Times New Roman" w:hAnsi="Times New Roman" w:cs="Times New Roman"/>
                <w:i/>
                <w:lang w:val="uk-UA"/>
              </w:rPr>
            </w:pPr>
            <w:r w:rsidRPr="007D6639">
              <w:rPr>
                <w:rFonts w:ascii="Times New Roman" w:hAnsi="Times New Roman" w:cs="Times New Roman"/>
                <w:i/>
                <w:lang w:val="uk-UA"/>
              </w:rPr>
              <w:t>9 163,3</w:t>
            </w:r>
          </w:p>
        </w:tc>
        <w:tc>
          <w:tcPr>
            <w:tcW w:w="1048" w:type="dxa"/>
          </w:tcPr>
          <w:p w:rsidR="00C67B41" w:rsidRPr="007D6639" w:rsidRDefault="007D6639" w:rsidP="009801A0">
            <w:pPr>
              <w:jc w:val="center"/>
              <w:rPr>
                <w:rFonts w:ascii="Times New Roman" w:hAnsi="Times New Roman" w:cs="Times New Roman"/>
                <w:i/>
                <w:lang w:val="uk-UA"/>
              </w:rPr>
            </w:pPr>
            <w:r>
              <w:rPr>
                <w:rFonts w:ascii="Times New Roman" w:hAnsi="Times New Roman" w:cs="Times New Roman"/>
                <w:i/>
                <w:lang w:val="uk-UA"/>
              </w:rPr>
              <w:t>-2</w:t>
            </w:r>
            <w:r w:rsidR="00F6639C">
              <w:rPr>
                <w:rFonts w:ascii="Times New Roman" w:hAnsi="Times New Roman" w:cs="Times New Roman"/>
                <w:i/>
                <w:lang w:val="uk-UA"/>
              </w:rPr>
              <w:t xml:space="preserve"> </w:t>
            </w:r>
            <w:r>
              <w:rPr>
                <w:rFonts w:ascii="Times New Roman" w:hAnsi="Times New Roman" w:cs="Times New Roman"/>
                <w:i/>
                <w:lang w:val="uk-UA"/>
              </w:rPr>
              <w:t>687,0</w:t>
            </w:r>
          </w:p>
        </w:tc>
        <w:tc>
          <w:tcPr>
            <w:tcW w:w="630" w:type="dxa"/>
          </w:tcPr>
          <w:p w:rsidR="00C67B41" w:rsidRPr="007D6639" w:rsidRDefault="007D6639" w:rsidP="009801A0">
            <w:pPr>
              <w:jc w:val="center"/>
              <w:rPr>
                <w:rFonts w:ascii="Times New Roman" w:hAnsi="Times New Roman" w:cs="Times New Roman"/>
                <w:i/>
                <w:lang w:val="uk-UA"/>
              </w:rPr>
            </w:pPr>
            <w:r>
              <w:rPr>
                <w:rFonts w:ascii="Times New Roman" w:hAnsi="Times New Roman" w:cs="Times New Roman"/>
                <w:i/>
                <w:lang w:val="uk-UA"/>
              </w:rPr>
              <w:t>77,3</w:t>
            </w:r>
          </w:p>
        </w:tc>
        <w:tc>
          <w:tcPr>
            <w:tcW w:w="1176" w:type="dxa"/>
          </w:tcPr>
          <w:p w:rsidR="00C67B41" w:rsidRPr="007D6639" w:rsidRDefault="007D6639" w:rsidP="009801A0">
            <w:pPr>
              <w:jc w:val="center"/>
              <w:rPr>
                <w:rFonts w:ascii="Times New Roman" w:hAnsi="Times New Roman" w:cs="Times New Roman"/>
                <w:i/>
                <w:lang w:val="uk-UA"/>
              </w:rPr>
            </w:pPr>
            <w:r w:rsidRPr="007D6639">
              <w:rPr>
                <w:rFonts w:ascii="Times New Roman" w:hAnsi="Times New Roman" w:cs="Times New Roman"/>
                <w:i/>
                <w:lang w:val="uk-UA"/>
              </w:rPr>
              <w:t>9 623,3</w:t>
            </w:r>
          </w:p>
        </w:tc>
        <w:tc>
          <w:tcPr>
            <w:tcW w:w="1115" w:type="dxa"/>
          </w:tcPr>
          <w:p w:rsidR="00C67B41" w:rsidRPr="007D6639" w:rsidRDefault="007D6639" w:rsidP="009801A0">
            <w:pPr>
              <w:jc w:val="center"/>
              <w:rPr>
                <w:rFonts w:ascii="Times New Roman" w:hAnsi="Times New Roman" w:cs="Times New Roman"/>
                <w:i/>
                <w:lang w:val="uk-UA"/>
              </w:rPr>
            </w:pPr>
            <w:r>
              <w:rPr>
                <w:rFonts w:ascii="Times New Roman" w:hAnsi="Times New Roman" w:cs="Times New Roman"/>
                <w:i/>
                <w:lang w:val="uk-UA"/>
              </w:rPr>
              <w:t>460,0</w:t>
            </w:r>
          </w:p>
        </w:tc>
        <w:tc>
          <w:tcPr>
            <w:tcW w:w="550" w:type="dxa"/>
          </w:tcPr>
          <w:p w:rsidR="00C67B41" w:rsidRPr="007D6639" w:rsidRDefault="007D6639" w:rsidP="009801A0">
            <w:pPr>
              <w:jc w:val="center"/>
              <w:rPr>
                <w:rFonts w:ascii="Times New Roman" w:hAnsi="Times New Roman" w:cs="Times New Roman"/>
                <w:i/>
                <w:lang w:val="uk-UA"/>
              </w:rPr>
            </w:pPr>
            <w:r>
              <w:rPr>
                <w:rFonts w:ascii="Times New Roman" w:hAnsi="Times New Roman" w:cs="Times New Roman"/>
                <w:i/>
                <w:lang w:val="uk-UA"/>
              </w:rPr>
              <w:t>5,0</w:t>
            </w:r>
          </w:p>
        </w:tc>
        <w:tc>
          <w:tcPr>
            <w:tcW w:w="1162" w:type="dxa"/>
          </w:tcPr>
          <w:p w:rsidR="00C67B41" w:rsidRPr="007D6639" w:rsidRDefault="007D6639" w:rsidP="009801A0">
            <w:pPr>
              <w:jc w:val="center"/>
              <w:rPr>
                <w:rFonts w:ascii="Times New Roman" w:hAnsi="Times New Roman" w:cs="Times New Roman"/>
                <w:i/>
                <w:lang w:val="uk-UA"/>
              </w:rPr>
            </w:pPr>
            <w:r w:rsidRPr="007D6639">
              <w:rPr>
                <w:rFonts w:ascii="Times New Roman" w:hAnsi="Times New Roman" w:cs="Times New Roman"/>
                <w:i/>
                <w:lang w:val="uk-UA"/>
              </w:rPr>
              <w:t>10 084,1</w:t>
            </w:r>
          </w:p>
        </w:tc>
        <w:tc>
          <w:tcPr>
            <w:tcW w:w="1092" w:type="dxa"/>
          </w:tcPr>
          <w:p w:rsidR="00C67B41" w:rsidRPr="007D6639" w:rsidRDefault="007D6639" w:rsidP="009801A0">
            <w:pPr>
              <w:jc w:val="center"/>
              <w:rPr>
                <w:rFonts w:ascii="Times New Roman" w:hAnsi="Times New Roman" w:cs="Times New Roman"/>
                <w:i/>
                <w:lang w:val="uk-UA"/>
              </w:rPr>
            </w:pPr>
            <w:r>
              <w:rPr>
                <w:rFonts w:ascii="Times New Roman" w:hAnsi="Times New Roman" w:cs="Times New Roman"/>
                <w:i/>
                <w:lang w:val="uk-UA"/>
              </w:rPr>
              <w:t>460,8</w:t>
            </w:r>
          </w:p>
        </w:tc>
        <w:tc>
          <w:tcPr>
            <w:tcW w:w="523" w:type="dxa"/>
          </w:tcPr>
          <w:p w:rsidR="00C67B41" w:rsidRDefault="007D6639" w:rsidP="009801A0">
            <w:pPr>
              <w:jc w:val="center"/>
              <w:rPr>
                <w:rFonts w:ascii="Times New Roman" w:hAnsi="Times New Roman" w:cs="Times New Roman"/>
                <w:i/>
                <w:lang w:val="uk-UA"/>
              </w:rPr>
            </w:pPr>
            <w:r>
              <w:rPr>
                <w:rFonts w:ascii="Times New Roman" w:hAnsi="Times New Roman" w:cs="Times New Roman"/>
                <w:i/>
                <w:lang w:val="uk-UA"/>
              </w:rPr>
              <w:t>4,8</w:t>
            </w:r>
          </w:p>
          <w:p w:rsidR="007D6639" w:rsidRPr="007D6639" w:rsidRDefault="007D6639" w:rsidP="009801A0">
            <w:pPr>
              <w:jc w:val="center"/>
              <w:rPr>
                <w:rFonts w:ascii="Times New Roman" w:hAnsi="Times New Roman" w:cs="Times New Roman"/>
                <w:i/>
                <w:lang w:val="uk-UA"/>
              </w:rPr>
            </w:pPr>
          </w:p>
        </w:tc>
      </w:tr>
    </w:tbl>
    <w:p w:rsidR="00C67B41" w:rsidRDefault="00C67B41" w:rsidP="00C67B41">
      <w:pPr>
        <w:spacing w:after="0" w:line="240" w:lineRule="auto"/>
        <w:jc w:val="both"/>
        <w:rPr>
          <w:rFonts w:ascii="Times New Roman" w:hAnsi="Times New Roman" w:cs="Times New Roman"/>
          <w:sz w:val="28"/>
          <w:szCs w:val="28"/>
          <w:lang w:val="uk-UA"/>
        </w:rPr>
      </w:pPr>
    </w:p>
    <w:p w:rsidR="009E1B8F" w:rsidRDefault="009E1B8F" w:rsidP="001159C9">
      <w:pPr>
        <w:spacing w:after="0" w:line="360" w:lineRule="auto"/>
        <w:ind w:firstLine="709"/>
        <w:jc w:val="both"/>
        <w:rPr>
          <w:rFonts w:ascii="Times New Roman" w:hAnsi="Times New Roman" w:cs="Times New Roman"/>
          <w:sz w:val="28"/>
          <w:szCs w:val="28"/>
          <w:lang w:val="uk-UA"/>
        </w:rPr>
      </w:pPr>
    </w:p>
    <w:p w:rsidR="001C28C2" w:rsidRDefault="001C28C2" w:rsidP="001C28C2">
      <w:pPr>
        <w:spacing w:after="0" w:line="360" w:lineRule="auto"/>
        <w:jc w:val="both"/>
        <w:rPr>
          <w:rFonts w:ascii="Times New Roman" w:hAnsi="Times New Roman" w:cs="Times New Roman"/>
          <w:sz w:val="28"/>
          <w:szCs w:val="28"/>
          <w:lang w:val="uk-UA"/>
        </w:rPr>
      </w:pPr>
      <w:r w:rsidRPr="001C28C2">
        <w:rPr>
          <w:rFonts w:ascii="Times New Roman" w:hAnsi="Times New Roman" w:cs="Times New Roman"/>
          <w:noProof/>
          <w:sz w:val="28"/>
          <w:szCs w:val="28"/>
          <w:lang w:val="en-US"/>
        </w:rPr>
        <w:drawing>
          <wp:inline distT="0" distB="0" distL="0" distR="0">
            <wp:extent cx="5940425" cy="3835004"/>
            <wp:effectExtent l="0" t="0" r="0"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53AC4" w:rsidRPr="00C67B41" w:rsidRDefault="00BA4A9B" w:rsidP="001159C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Розрахунок показників місцевого бюджету на середньост</w:t>
      </w:r>
      <w:r w:rsidR="00B12B73">
        <w:rPr>
          <w:rFonts w:ascii="Times New Roman" w:hAnsi="Times New Roman" w:cs="Times New Roman"/>
          <w:sz w:val="28"/>
          <w:szCs w:val="28"/>
          <w:lang w:val="uk-UA"/>
        </w:rPr>
        <w:t>р</w:t>
      </w:r>
      <w:r>
        <w:rPr>
          <w:rFonts w:ascii="Times New Roman" w:hAnsi="Times New Roman" w:cs="Times New Roman"/>
          <w:sz w:val="28"/>
          <w:szCs w:val="28"/>
          <w:lang w:val="uk-UA"/>
        </w:rPr>
        <w:t>оковий період</w:t>
      </w:r>
      <w:r w:rsidR="00B12B73">
        <w:rPr>
          <w:rFonts w:ascii="Times New Roman" w:hAnsi="Times New Roman" w:cs="Times New Roman"/>
          <w:sz w:val="28"/>
          <w:szCs w:val="28"/>
          <w:lang w:val="uk-UA"/>
        </w:rPr>
        <w:t xml:space="preserve"> </w:t>
      </w:r>
      <w:r>
        <w:rPr>
          <w:rFonts w:ascii="Times New Roman" w:hAnsi="Times New Roman" w:cs="Times New Roman"/>
          <w:sz w:val="28"/>
          <w:szCs w:val="28"/>
          <w:lang w:val="uk-UA"/>
        </w:rPr>
        <w:t>наве</w:t>
      </w:r>
      <w:r w:rsidR="00653AC4">
        <w:rPr>
          <w:rFonts w:ascii="Times New Roman" w:hAnsi="Times New Roman" w:cs="Times New Roman"/>
          <w:sz w:val="28"/>
          <w:szCs w:val="28"/>
          <w:lang w:val="uk-UA"/>
        </w:rPr>
        <w:t>дено в додатку 1</w:t>
      </w:r>
      <w:r w:rsidR="00BF318B">
        <w:rPr>
          <w:rFonts w:ascii="Times New Roman" w:hAnsi="Times New Roman" w:cs="Times New Roman"/>
          <w:sz w:val="28"/>
          <w:szCs w:val="28"/>
          <w:lang w:val="uk-UA"/>
        </w:rPr>
        <w:t xml:space="preserve"> </w:t>
      </w:r>
      <w:r w:rsidR="00653AC4">
        <w:rPr>
          <w:rFonts w:ascii="Times New Roman" w:hAnsi="Times New Roman" w:cs="Times New Roman"/>
          <w:sz w:val="28"/>
          <w:szCs w:val="28"/>
          <w:lang w:val="uk-UA"/>
        </w:rPr>
        <w:t>до Прогнозу місцевого бюджету.</w:t>
      </w:r>
    </w:p>
    <w:p w:rsidR="00653AC4" w:rsidRDefault="00653AC4" w:rsidP="00B12B73">
      <w:pPr>
        <w:spacing w:after="0" w:line="240" w:lineRule="auto"/>
        <w:ind w:firstLine="708"/>
        <w:jc w:val="both"/>
        <w:rPr>
          <w:rFonts w:ascii="Times New Roman" w:hAnsi="Times New Roman" w:cs="Times New Roman"/>
          <w:sz w:val="28"/>
          <w:szCs w:val="28"/>
          <w:lang w:val="uk-UA"/>
        </w:rPr>
      </w:pPr>
    </w:p>
    <w:p w:rsidR="00881BDB" w:rsidRPr="00881BDB" w:rsidRDefault="00653AC4" w:rsidP="00881BDB">
      <w:pPr>
        <w:spacing w:after="0" w:line="240" w:lineRule="auto"/>
        <w:ind w:firstLine="708"/>
        <w:jc w:val="center"/>
        <w:rPr>
          <w:rFonts w:ascii="Times New Roman" w:hAnsi="Times New Roman" w:cs="Times New Roman"/>
          <w:b/>
          <w:sz w:val="28"/>
          <w:szCs w:val="28"/>
          <w:lang w:val="uk-UA"/>
        </w:rPr>
      </w:pPr>
      <w:r w:rsidRPr="00881BDB">
        <w:rPr>
          <w:rFonts w:ascii="Times New Roman" w:hAnsi="Times New Roman" w:cs="Times New Roman"/>
          <w:b/>
          <w:sz w:val="28"/>
          <w:szCs w:val="28"/>
        </w:rPr>
        <w:t>ІV. Показники доходів бюджету</w:t>
      </w:r>
    </w:p>
    <w:p w:rsidR="00881BDB" w:rsidRDefault="00653AC4" w:rsidP="00796739">
      <w:pPr>
        <w:spacing w:after="0" w:line="360" w:lineRule="auto"/>
        <w:ind w:firstLine="709"/>
        <w:jc w:val="both"/>
        <w:rPr>
          <w:rFonts w:ascii="Times New Roman" w:hAnsi="Times New Roman" w:cs="Times New Roman"/>
          <w:sz w:val="28"/>
          <w:szCs w:val="28"/>
          <w:lang w:val="uk-UA"/>
        </w:rPr>
      </w:pPr>
      <w:r w:rsidRPr="00A949A5">
        <w:rPr>
          <w:rFonts w:ascii="Times New Roman" w:hAnsi="Times New Roman" w:cs="Times New Roman"/>
          <w:sz w:val="28"/>
          <w:szCs w:val="28"/>
        </w:rPr>
        <w:t>Прогноз дохідної частини бюджету громади розроблено відповідно до норм бюджетно</w:t>
      </w:r>
      <w:r w:rsidR="00A76BA2">
        <w:rPr>
          <w:rFonts w:ascii="Times New Roman" w:hAnsi="Times New Roman" w:cs="Times New Roman"/>
          <w:sz w:val="28"/>
          <w:szCs w:val="28"/>
          <w:lang w:val="uk-UA"/>
        </w:rPr>
        <w:t xml:space="preserve">го та </w:t>
      </w:r>
      <w:r w:rsidRPr="00A949A5">
        <w:rPr>
          <w:rFonts w:ascii="Times New Roman" w:hAnsi="Times New Roman" w:cs="Times New Roman"/>
          <w:sz w:val="28"/>
          <w:szCs w:val="28"/>
        </w:rPr>
        <w:t xml:space="preserve">податкового законодавства, основних прогнозних макропоказників економічного і соціального розвитку України та </w:t>
      </w:r>
      <w:r w:rsidR="00881BDB">
        <w:rPr>
          <w:rFonts w:ascii="Times New Roman" w:hAnsi="Times New Roman" w:cs="Times New Roman"/>
          <w:sz w:val="28"/>
          <w:szCs w:val="28"/>
          <w:lang w:val="uk-UA"/>
        </w:rPr>
        <w:t>територіальної громади</w:t>
      </w:r>
      <w:r w:rsidRPr="00A949A5">
        <w:rPr>
          <w:rFonts w:ascii="Times New Roman" w:hAnsi="Times New Roman" w:cs="Times New Roman"/>
          <w:sz w:val="28"/>
          <w:szCs w:val="28"/>
        </w:rPr>
        <w:t>, особливостей податкової політики, передбачених Бюджетною декларацією на 2022-2024 роки, положень нормативно-правових актів міської ради про встановлення місцевих податків і зборів</w:t>
      </w:r>
      <w:r w:rsidR="00E56451">
        <w:rPr>
          <w:rFonts w:ascii="Times New Roman" w:hAnsi="Times New Roman" w:cs="Times New Roman"/>
          <w:sz w:val="28"/>
          <w:szCs w:val="28"/>
          <w:lang w:val="uk-UA"/>
        </w:rPr>
        <w:t xml:space="preserve"> та пільг.</w:t>
      </w:r>
      <w:r w:rsidRPr="00A949A5">
        <w:rPr>
          <w:rFonts w:ascii="Times New Roman" w:hAnsi="Times New Roman" w:cs="Times New Roman"/>
          <w:sz w:val="28"/>
          <w:szCs w:val="28"/>
        </w:rPr>
        <w:t xml:space="preserve"> </w:t>
      </w:r>
    </w:p>
    <w:p w:rsidR="00A76BA2" w:rsidRDefault="00653AC4" w:rsidP="00796739">
      <w:pPr>
        <w:spacing w:after="0" w:line="360" w:lineRule="auto"/>
        <w:ind w:firstLine="709"/>
        <w:jc w:val="both"/>
        <w:rPr>
          <w:rFonts w:ascii="Times New Roman" w:hAnsi="Times New Roman" w:cs="Times New Roman"/>
          <w:sz w:val="28"/>
          <w:szCs w:val="28"/>
          <w:lang w:val="uk-UA"/>
        </w:rPr>
      </w:pPr>
      <w:r w:rsidRPr="00881BDB">
        <w:rPr>
          <w:rFonts w:ascii="Times New Roman" w:hAnsi="Times New Roman" w:cs="Times New Roman"/>
          <w:sz w:val="28"/>
          <w:szCs w:val="28"/>
          <w:lang w:val="uk-UA"/>
        </w:rPr>
        <w:t>З метою розширення податкової бази та залучення додаткових надходжень до бюджету громади визначено такі пріоритетні завдання:</w:t>
      </w:r>
    </w:p>
    <w:p w:rsidR="00A76BA2" w:rsidRDefault="00A76BA2" w:rsidP="0079673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653AC4" w:rsidRPr="00881BDB">
        <w:rPr>
          <w:rFonts w:ascii="Times New Roman" w:hAnsi="Times New Roman" w:cs="Times New Roman"/>
          <w:sz w:val="28"/>
          <w:szCs w:val="28"/>
          <w:lang w:val="uk-UA"/>
        </w:rPr>
        <w:t xml:space="preserve"> сприяння розвитку бюджетоутворюючих підприємств</w:t>
      </w:r>
      <w:r>
        <w:rPr>
          <w:rFonts w:ascii="Times New Roman" w:hAnsi="Times New Roman" w:cs="Times New Roman"/>
          <w:sz w:val="28"/>
          <w:szCs w:val="28"/>
          <w:lang w:val="uk-UA"/>
        </w:rPr>
        <w:t>;</w:t>
      </w:r>
    </w:p>
    <w:p w:rsidR="00A76BA2" w:rsidRDefault="00A76BA2" w:rsidP="0079673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53AC4" w:rsidRPr="00881BDB">
        <w:rPr>
          <w:rFonts w:ascii="Times New Roman" w:hAnsi="Times New Roman" w:cs="Times New Roman"/>
          <w:sz w:val="28"/>
          <w:szCs w:val="28"/>
          <w:lang w:val="uk-UA"/>
        </w:rPr>
        <w:t>розширенн</w:t>
      </w:r>
      <w:r>
        <w:rPr>
          <w:rFonts w:ascii="Times New Roman" w:hAnsi="Times New Roman" w:cs="Times New Roman"/>
          <w:sz w:val="28"/>
          <w:szCs w:val="28"/>
          <w:lang w:val="uk-UA"/>
        </w:rPr>
        <w:t>я</w:t>
      </w:r>
      <w:r w:rsidR="00653AC4" w:rsidRPr="00881BDB">
        <w:rPr>
          <w:rFonts w:ascii="Times New Roman" w:hAnsi="Times New Roman" w:cs="Times New Roman"/>
          <w:sz w:val="28"/>
          <w:szCs w:val="28"/>
          <w:lang w:val="uk-UA"/>
        </w:rPr>
        <w:t xml:space="preserve"> діючих виробничих потужностей</w:t>
      </w:r>
      <w:r>
        <w:rPr>
          <w:rFonts w:ascii="Times New Roman" w:hAnsi="Times New Roman" w:cs="Times New Roman"/>
          <w:sz w:val="28"/>
          <w:szCs w:val="28"/>
          <w:lang w:val="uk-UA"/>
        </w:rPr>
        <w:t>;</w:t>
      </w:r>
    </w:p>
    <w:p w:rsidR="00A76BA2" w:rsidRDefault="00A76BA2" w:rsidP="0079673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53AC4" w:rsidRPr="00881BDB">
        <w:rPr>
          <w:rFonts w:ascii="Times New Roman" w:hAnsi="Times New Roman" w:cs="Times New Roman"/>
          <w:sz w:val="28"/>
          <w:szCs w:val="28"/>
          <w:lang w:val="uk-UA"/>
        </w:rPr>
        <w:t>збільшенн</w:t>
      </w:r>
      <w:r>
        <w:rPr>
          <w:rFonts w:ascii="Times New Roman" w:hAnsi="Times New Roman" w:cs="Times New Roman"/>
          <w:sz w:val="28"/>
          <w:szCs w:val="28"/>
          <w:lang w:val="uk-UA"/>
        </w:rPr>
        <w:t>я</w:t>
      </w:r>
      <w:r w:rsidR="00653AC4" w:rsidRPr="00881BDB">
        <w:rPr>
          <w:rFonts w:ascii="Times New Roman" w:hAnsi="Times New Roman" w:cs="Times New Roman"/>
          <w:sz w:val="28"/>
          <w:szCs w:val="28"/>
          <w:lang w:val="uk-UA"/>
        </w:rPr>
        <w:t xml:space="preserve"> виробництва продукції; </w:t>
      </w:r>
    </w:p>
    <w:p w:rsidR="00A76BA2" w:rsidRDefault="00A76BA2" w:rsidP="0079673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53AC4" w:rsidRPr="00881BDB">
        <w:rPr>
          <w:rFonts w:ascii="Times New Roman" w:hAnsi="Times New Roman" w:cs="Times New Roman"/>
          <w:sz w:val="28"/>
          <w:szCs w:val="28"/>
          <w:lang w:val="uk-UA"/>
        </w:rPr>
        <w:t xml:space="preserve">поліпшення економічних, правових та організаційних умов для залучення інвестиційних ресурсів та задіяння земельного потенціалу громади; </w:t>
      </w:r>
    </w:p>
    <w:p w:rsidR="00881BDB" w:rsidRDefault="00A76BA2" w:rsidP="0079673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53AC4" w:rsidRPr="00881BDB">
        <w:rPr>
          <w:rFonts w:ascii="Times New Roman" w:hAnsi="Times New Roman" w:cs="Times New Roman"/>
          <w:sz w:val="28"/>
          <w:szCs w:val="28"/>
          <w:lang w:val="uk-UA"/>
        </w:rPr>
        <w:t xml:space="preserve">впровадження заходів, спрямованих на </w:t>
      </w:r>
      <w:r>
        <w:rPr>
          <w:rFonts w:ascii="Times New Roman" w:hAnsi="Times New Roman" w:cs="Times New Roman"/>
          <w:sz w:val="28"/>
          <w:szCs w:val="28"/>
          <w:lang w:val="uk-UA"/>
        </w:rPr>
        <w:t xml:space="preserve">розвиток </w:t>
      </w:r>
      <w:r w:rsidR="00653AC4" w:rsidRPr="00881BDB">
        <w:rPr>
          <w:rFonts w:ascii="Times New Roman" w:hAnsi="Times New Roman" w:cs="Times New Roman"/>
          <w:sz w:val="28"/>
          <w:szCs w:val="28"/>
          <w:lang w:val="uk-UA"/>
        </w:rPr>
        <w:t xml:space="preserve">підприємницької діяльності, поліпшення бізнес-клімату. </w:t>
      </w:r>
    </w:p>
    <w:p w:rsidR="00E56451" w:rsidRDefault="00653AC4" w:rsidP="00796739">
      <w:pPr>
        <w:spacing w:after="0" w:line="360" w:lineRule="auto"/>
        <w:ind w:firstLine="709"/>
        <w:jc w:val="both"/>
        <w:rPr>
          <w:rFonts w:ascii="Times New Roman" w:hAnsi="Times New Roman" w:cs="Times New Roman"/>
          <w:sz w:val="28"/>
          <w:szCs w:val="28"/>
          <w:lang w:val="uk-UA"/>
        </w:rPr>
      </w:pPr>
      <w:r w:rsidRPr="00E56451">
        <w:rPr>
          <w:rFonts w:ascii="Times New Roman" w:hAnsi="Times New Roman" w:cs="Times New Roman"/>
          <w:sz w:val="28"/>
          <w:szCs w:val="28"/>
          <w:lang w:val="uk-UA"/>
        </w:rPr>
        <w:t xml:space="preserve">Для виконання пріоритетних завдань передбачається здійснити наступні заходи: </w:t>
      </w:r>
    </w:p>
    <w:p w:rsidR="00E56451" w:rsidRDefault="00653AC4" w:rsidP="00E56451">
      <w:pPr>
        <w:pStyle w:val="ab"/>
        <w:numPr>
          <w:ilvl w:val="0"/>
          <w:numId w:val="1"/>
        </w:numPr>
        <w:spacing w:after="0" w:line="360" w:lineRule="auto"/>
        <w:ind w:left="283" w:hanging="357"/>
        <w:jc w:val="both"/>
        <w:rPr>
          <w:rFonts w:ascii="Times New Roman" w:hAnsi="Times New Roman" w:cs="Times New Roman"/>
          <w:sz w:val="28"/>
          <w:szCs w:val="28"/>
          <w:lang w:val="uk-UA"/>
        </w:rPr>
      </w:pPr>
      <w:r w:rsidRPr="00E56451">
        <w:rPr>
          <w:rFonts w:ascii="Times New Roman" w:hAnsi="Times New Roman" w:cs="Times New Roman"/>
          <w:sz w:val="28"/>
          <w:szCs w:val="28"/>
          <w:lang w:val="uk-UA"/>
        </w:rPr>
        <w:t xml:space="preserve">створити щорічно до </w:t>
      </w:r>
      <w:r w:rsidR="00881BDB" w:rsidRPr="00E56451">
        <w:rPr>
          <w:rFonts w:ascii="Times New Roman" w:hAnsi="Times New Roman" w:cs="Times New Roman"/>
          <w:sz w:val="28"/>
          <w:szCs w:val="28"/>
          <w:lang w:val="uk-UA"/>
        </w:rPr>
        <w:t>1</w:t>
      </w:r>
      <w:r w:rsidRPr="00E56451">
        <w:rPr>
          <w:rFonts w:ascii="Times New Roman" w:hAnsi="Times New Roman" w:cs="Times New Roman"/>
          <w:sz w:val="28"/>
          <w:szCs w:val="28"/>
          <w:lang w:val="uk-UA"/>
        </w:rPr>
        <w:t xml:space="preserve"> тис. нових робочих місць, провести в установленому порядку перевірки фінансово-господарської діяльності суб’єктів господарювання щодо дотримання норм законодавства</w:t>
      </w:r>
      <w:r w:rsidR="00E56451" w:rsidRPr="00E56451">
        <w:rPr>
          <w:rFonts w:ascii="Times New Roman" w:hAnsi="Times New Roman" w:cs="Times New Roman"/>
          <w:sz w:val="28"/>
          <w:szCs w:val="28"/>
          <w:lang w:val="uk-UA"/>
        </w:rPr>
        <w:t xml:space="preserve"> щодо легалізації працевлаштування працівників та </w:t>
      </w:r>
      <w:r w:rsidRPr="00E56451">
        <w:rPr>
          <w:rFonts w:ascii="Times New Roman" w:hAnsi="Times New Roman" w:cs="Times New Roman"/>
          <w:sz w:val="28"/>
          <w:szCs w:val="28"/>
          <w:lang w:val="uk-UA"/>
        </w:rPr>
        <w:t xml:space="preserve"> в частині оплати праці у розмірі не менш</w:t>
      </w:r>
      <w:r w:rsidR="00E56451" w:rsidRPr="00E56451">
        <w:rPr>
          <w:rFonts w:ascii="Times New Roman" w:hAnsi="Times New Roman" w:cs="Times New Roman"/>
          <w:sz w:val="28"/>
          <w:szCs w:val="28"/>
          <w:lang w:val="uk-UA"/>
        </w:rPr>
        <w:t xml:space="preserve">е мінімальної заробітної плати. </w:t>
      </w:r>
      <w:r w:rsidRPr="00E56451">
        <w:rPr>
          <w:rFonts w:ascii="Times New Roman" w:hAnsi="Times New Roman" w:cs="Times New Roman"/>
          <w:sz w:val="28"/>
          <w:szCs w:val="28"/>
          <w:lang w:val="uk-UA"/>
        </w:rPr>
        <w:t xml:space="preserve">Очікуваний результат – підвищення рівня зайнятості та соціального забезпечення населення, зростання надходжень податку </w:t>
      </w:r>
      <w:r w:rsidR="00E56451" w:rsidRPr="00E56451">
        <w:rPr>
          <w:rFonts w:ascii="Times New Roman" w:hAnsi="Times New Roman" w:cs="Times New Roman"/>
          <w:sz w:val="28"/>
          <w:szCs w:val="28"/>
          <w:lang w:val="uk-UA"/>
        </w:rPr>
        <w:t xml:space="preserve">та збору </w:t>
      </w:r>
      <w:r w:rsidRPr="00E56451">
        <w:rPr>
          <w:rFonts w:ascii="Times New Roman" w:hAnsi="Times New Roman" w:cs="Times New Roman"/>
          <w:sz w:val="28"/>
          <w:szCs w:val="28"/>
          <w:lang w:val="uk-UA"/>
        </w:rPr>
        <w:t xml:space="preserve">на доходи фізичних осіб; </w:t>
      </w:r>
    </w:p>
    <w:p w:rsidR="00E56451" w:rsidRDefault="00653AC4" w:rsidP="00E56451">
      <w:pPr>
        <w:pStyle w:val="ab"/>
        <w:numPr>
          <w:ilvl w:val="0"/>
          <w:numId w:val="1"/>
        </w:numPr>
        <w:spacing w:after="0" w:line="360" w:lineRule="auto"/>
        <w:ind w:left="283" w:hanging="357"/>
        <w:jc w:val="both"/>
        <w:rPr>
          <w:rFonts w:ascii="Times New Roman" w:hAnsi="Times New Roman" w:cs="Times New Roman"/>
          <w:sz w:val="28"/>
          <w:szCs w:val="28"/>
          <w:lang w:val="uk-UA"/>
        </w:rPr>
      </w:pPr>
      <w:r w:rsidRPr="00E56451">
        <w:rPr>
          <w:rFonts w:ascii="Times New Roman" w:hAnsi="Times New Roman" w:cs="Times New Roman"/>
          <w:sz w:val="28"/>
          <w:szCs w:val="28"/>
          <w:lang w:val="uk-UA"/>
        </w:rPr>
        <w:t xml:space="preserve">провести інвентаризацію </w:t>
      </w:r>
      <w:r w:rsidR="00440685" w:rsidRPr="00E56451">
        <w:rPr>
          <w:rFonts w:ascii="Times New Roman" w:hAnsi="Times New Roman" w:cs="Times New Roman"/>
          <w:sz w:val="28"/>
          <w:szCs w:val="28"/>
          <w:lang w:val="uk-UA"/>
        </w:rPr>
        <w:t xml:space="preserve">та незалежний аудит </w:t>
      </w:r>
      <w:r w:rsidRPr="00E56451">
        <w:rPr>
          <w:rFonts w:ascii="Times New Roman" w:hAnsi="Times New Roman" w:cs="Times New Roman"/>
          <w:sz w:val="28"/>
          <w:szCs w:val="28"/>
          <w:lang w:val="uk-UA"/>
        </w:rPr>
        <w:t>земельних ділянок, перегл</w:t>
      </w:r>
      <w:r w:rsidR="00E56451">
        <w:rPr>
          <w:rFonts w:ascii="Times New Roman" w:hAnsi="Times New Roman" w:cs="Times New Roman"/>
          <w:sz w:val="28"/>
          <w:szCs w:val="28"/>
          <w:lang w:val="uk-UA"/>
        </w:rPr>
        <w:t>янути</w:t>
      </w:r>
      <w:r w:rsidRPr="00E56451">
        <w:rPr>
          <w:rFonts w:ascii="Times New Roman" w:hAnsi="Times New Roman" w:cs="Times New Roman"/>
          <w:sz w:val="28"/>
          <w:szCs w:val="28"/>
          <w:lang w:val="uk-UA"/>
        </w:rPr>
        <w:t xml:space="preserve"> укладен</w:t>
      </w:r>
      <w:r w:rsidR="00E56451">
        <w:rPr>
          <w:rFonts w:ascii="Times New Roman" w:hAnsi="Times New Roman" w:cs="Times New Roman"/>
          <w:sz w:val="28"/>
          <w:szCs w:val="28"/>
          <w:lang w:val="uk-UA"/>
        </w:rPr>
        <w:t>і</w:t>
      </w:r>
      <w:r w:rsidRPr="00E56451">
        <w:rPr>
          <w:rFonts w:ascii="Times New Roman" w:hAnsi="Times New Roman" w:cs="Times New Roman"/>
          <w:sz w:val="28"/>
          <w:szCs w:val="28"/>
          <w:lang w:val="uk-UA"/>
        </w:rPr>
        <w:t xml:space="preserve"> договор</w:t>
      </w:r>
      <w:r w:rsidR="00E56451">
        <w:rPr>
          <w:rFonts w:ascii="Times New Roman" w:hAnsi="Times New Roman" w:cs="Times New Roman"/>
          <w:sz w:val="28"/>
          <w:szCs w:val="28"/>
          <w:lang w:val="uk-UA"/>
        </w:rPr>
        <w:t>и</w:t>
      </w:r>
      <w:r w:rsidRPr="00E56451">
        <w:rPr>
          <w:rFonts w:ascii="Times New Roman" w:hAnsi="Times New Roman" w:cs="Times New Roman"/>
          <w:sz w:val="28"/>
          <w:szCs w:val="28"/>
          <w:lang w:val="uk-UA"/>
        </w:rPr>
        <w:t xml:space="preserve"> оренди земельних ділянок на предмет </w:t>
      </w:r>
      <w:r w:rsidRPr="00E56451">
        <w:rPr>
          <w:rFonts w:ascii="Times New Roman" w:hAnsi="Times New Roman" w:cs="Times New Roman"/>
          <w:sz w:val="28"/>
          <w:szCs w:val="28"/>
          <w:lang w:val="uk-UA"/>
        </w:rPr>
        <w:lastRenderedPageBreak/>
        <w:t xml:space="preserve">відповідності розміру орендної плати нормам Податкового кодексу України, що забезпечить задіяння земельного потенціалу громади для залучення інвестицій, збільшення надходжень плати за землю; </w:t>
      </w:r>
    </w:p>
    <w:p w:rsidR="00E56451" w:rsidRDefault="00653AC4" w:rsidP="00E56451">
      <w:pPr>
        <w:pStyle w:val="ab"/>
        <w:numPr>
          <w:ilvl w:val="0"/>
          <w:numId w:val="1"/>
        </w:numPr>
        <w:spacing w:after="0" w:line="360" w:lineRule="auto"/>
        <w:ind w:left="283" w:hanging="357"/>
        <w:jc w:val="both"/>
        <w:rPr>
          <w:rFonts w:ascii="Times New Roman" w:hAnsi="Times New Roman" w:cs="Times New Roman"/>
          <w:sz w:val="28"/>
          <w:szCs w:val="28"/>
          <w:lang w:val="uk-UA"/>
        </w:rPr>
      </w:pPr>
      <w:r w:rsidRPr="00E56451">
        <w:rPr>
          <w:rFonts w:ascii="Times New Roman" w:hAnsi="Times New Roman" w:cs="Times New Roman"/>
          <w:sz w:val="28"/>
          <w:szCs w:val="28"/>
          <w:lang w:val="uk-UA"/>
        </w:rPr>
        <w:t>організ</w:t>
      </w:r>
      <w:r w:rsidR="00E56451">
        <w:rPr>
          <w:rFonts w:ascii="Times New Roman" w:hAnsi="Times New Roman" w:cs="Times New Roman"/>
          <w:sz w:val="28"/>
          <w:szCs w:val="28"/>
          <w:lang w:val="uk-UA"/>
        </w:rPr>
        <w:t xml:space="preserve">увати </w:t>
      </w:r>
      <w:r w:rsidRPr="00E56451">
        <w:rPr>
          <w:rFonts w:ascii="Times New Roman" w:hAnsi="Times New Roman" w:cs="Times New Roman"/>
          <w:sz w:val="28"/>
          <w:szCs w:val="28"/>
          <w:lang w:val="uk-UA"/>
        </w:rPr>
        <w:t xml:space="preserve"> реєстраці</w:t>
      </w:r>
      <w:r w:rsidR="00E56451">
        <w:rPr>
          <w:rFonts w:ascii="Times New Roman" w:hAnsi="Times New Roman" w:cs="Times New Roman"/>
          <w:sz w:val="28"/>
          <w:szCs w:val="28"/>
          <w:lang w:val="uk-UA"/>
        </w:rPr>
        <w:t>ю</w:t>
      </w:r>
      <w:r w:rsidRPr="00E56451">
        <w:rPr>
          <w:rFonts w:ascii="Times New Roman" w:hAnsi="Times New Roman" w:cs="Times New Roman"/>
          <w:sz w:val="28"/>
          <w:szCs w:val="28"/>
          <w:lang w:val="uk-UA"/>
        </w:rPr>
        <w:t xml:space="preserve"> фізичних осіб-підприємців у доступній формі та у найкоротші терміни, що очікувано розширить сфери діяльності малого бізнесу, збільшить надходження єдиного податку; </w:t>
      </w:r>
    </w:p>
    <w:p w:rsidR="00881BDB" w:rsidRPr="00E56451" w:rsidRDefault="00440685" w:rsidP="00E56451">
      <w:pPr>
        <w:pStyle w:val="ab"/>
        <w:numPr>
          <w:ilvl w:val="0"/>
          <w:numId w:val="1"/>
        </w:numPr>
        <w:spacing w:after="0" w:line="360" w:lineRule="auto"/>
        <w:ind w:left="283" w:hanging="357"/>
        <w:jc w:val="both"/>
        <w:rPr>
          <w:rFonts w:ascii="Times New Roman" w:hAnsi="Times New Roman" w:cs="Times New Roman"/>
          <w:sz w:val="28"/>
          <w:szCs w:val="28"/>
          <w:lang w:val="uk-UA"/>
        </w:rPr>
      </w:pPr>
      <w:r w:rsidRPr="00E56451">
        <w:rPr>
          <w:rFonts w:ascii="Times New Roman" w:hAnsi="Times New Roman" w:cs="Times New Roman"/>
          <w:sz w:val="28"/>
          <w:szCs w:val="28"/>
          <w:lang w:val="uk-UA"/>
        </w:rPr>
        <w:t>здійснити</w:t>
      </w:r>
      <w:r w:rsidR="00653AC4" w:rsidRPr="00E56451">
        <w:rPr>
          <w:rFonts w:ascii="Times New Roman" w:hAnsi="Times New Roman" w:cs="Times New Roman"/>
          <w:sz w:val="28"/>
          <w:szCs w:val="28"/>
          <w:lang w:val="uk-UA"/>
        </w:rPr>
        <w:t xml:space="preserve"> моніторинг податкового боргу платників податків до бюджету та </w:t>
      </w:r>
      <w:r w:rsidR="00E56451">
        <w:rPr>
          <w:rFonts w:ascii="Times New Roman" w:hAnsi="Times New Roman" w:cs="Times New Roman"/>
          <w:sz w:val="28"/>
          <w:szCs w:val="28"/>
          <w:lang w:val="uk-UA"/>
        </w:rPr>
        <w:t>активізува</w:t>
      </w:r>
      <w:r w:rsidR="00653AC4" w:rsidRPr="00E56451">
        <w:rPr>
          <w:rFonts w:ascii="Times New Roman" w:hAnsi="Times New Roman" w:cs="Times New Roman"/>
          <w:sz w:val="28"/>
          <w:szCs w:val="28"/>
          <w:lang w:val="uk-UA"/>
        </w:rPr>
        <w:t>ти претензійно-позовну роботу щодо його зменшення.</w:t>
      </w:r>
    </w:p>
    <w:p w:rsidR="000362FF" w:rsidRDefault="00653AC4" w:rsidP="00796739">
      <w:pPr>
        <w:spacing w:after="0" w:line="360" w:lineRule="auto"/>
        <w:ind w:firstLine="709"/>
        <w:jc w:val="both"/>
        <w:rPr>
          <w:rFonts w:ascii="Times New Roman" w:hAnsi="Times New Roman" w:cs="Times New Roman"/>
          <w:sz w:val="28"/>
          <w:szCs w:val="28"/>
          <w:lang w:val="uk-UA"/>
        </w:rPr>
      </w:pPr>
      <w:r w:rsidRPr="00881BDB">
        <w:rPr>
          <w:rFonts w:ascii="Times New Roman" w:hAnsi="Times New Roman" w:cs="Times New Roman"/>
          <w:sz w:val="28"/>
          <w:szCs w:val="28"/>
          <w:lang w:val="uk-UA"/>
        </w:rPr>
        <w:t xml:space="preserve">Прогнозні показники доходів бюджету сформовані на основі існуючої податкової бази та реалізації пріоритетних завдань із розширення її потенціалу. </w:t>
      </w:r>
      <w:r w:rsidRPr="00A949A5">
        <w:rPr>
          <w:rFonts w:ascii="Times New Roman" w:hAnsi="Times New Roman" w:cs="Times New Roman"/>
          <w:sz w:val="28"/>
          <w:szCs w:val="28"/>
        </w:rPr>
        <w:t xml:space="preserve">Показники доходів бюджету громади наведені в додатку 2 </w:t>
      </w:r>
      <w:proofErr w:type="gramStart"/>
      <w:r w:rsidRPr="00A949A5">
        <w:rPr>
          <w:rFonts w:ascii="Times New Roman" w:hAnsi="Times New Roman" w:cs="Times New Roman"/>
          <w:sz w:val="28"/>
          <w:szCs w:val="28"/>
        </w:rPr>
        <w:t>до прогнозу</w:t>
      </w:r>
      <w:proofErr w:type="gramEnd"/>
      <w:r w:rsidRPr="00A949A5">
        <w:rPr>
          <w:rFonts w:ascii="Times New Roman" w:hAnsi="Times New Roman" w:cs="Times New Roman"/>
          <w:sz w:val="28"/>
          <w:szCs w:val="28"/>
        </w:rPr>
        <w:t xml:space="preserve"> бюджету. В структурі доходів найбільшу частку становитимуть податкові та неподаткові надходження – </w:t>
      </w:r>
      <w:r w:rsidR="000362FF">
        <w:rPr>
          <w:rFonts w:ascii="Times New Roman" w:hAnsi="Times New Roman" w:cs="Times New Roman"/>
          <w:sz w:val="28"/>
          <w:szCs w:val="28"/>
          <w:lang w:val="uk-UA"/>
        </w:rPr>
        <w:t>72,</w:t>
      </w:r>
      <w:r w:rsidR="005A01EA">
        <w:rPr>
          <w:rFonts w:ascii="Times New Roman" w:hAnsi="Times New Roman" w:cs="Times New Roman"/>
          <w:sz w:val="28"/>
          <w:szCs w:val="28"/>
          <w:lang w:val="uk-UA"/>
        </w:rPr>
        <w:t>2</w:t>
      </w:r>
      <w:r w:rsidRPr="00A949A5">
        <w:rPr>
          <w:rFonts w:ascii="Times New Roman" w:hAnsi="Times New Roman" w:cs="Times New Roman"/>
          <w:sz w:val="28"/>
          <w:szCs w:val="28"/>
        </w:rPr>
        <w:t xml:space="preserve"> %; міжбюджетні трансферти – </w:t>
      </w:r>
      <w:r w:rsidR="000362FF">
        <w:rPr>
          <w:rFonts w:ascii="Times New Roman" w:hAnsi="Times New Roman" w:cs="Times New Roman"/>
          <w:sz w:val="28"/>
          <w:szCs w:val="28"/>
          <w:lang w:val="uk-UA"/>
        </w:rPr>
        <w:t>27,8</w:t>
      </w:r>
      <w:r w:rsidRPr="00A949A5">
        <w:rPr>
          <w:rFonts w:ascii="Times New Roman" w:hAnsi="Times New Roman" w:cs="Times New Roman"/>
          <w:sz w:val="28"/>
          <w:szCs w:val="28"/>
        </w:rPr>
        <w:t xml:space="preserve"> %. </w:t>
      </w:r>
    </w:p>
    <w:p w:rsidR="000362FF" w:rsidRDefault="00653AC4" w:rsidP="00796739">
      <w:pPr>
        <w:spacing w:after="0" w:line="360" w:lineRule="auto"/>
        <w:ind w:firstLine="709"/>
        <w:jc w:val="both"/>
        <w:rPr>
          <w:rFonts w:ascii="Times New Roman" w:hAnsi="Times New Roman" w:cs="Times New Roman"/>
          <w:sz w:val="28"/>
          <w:szCs w:val="28"/>
          <w:lang w:val="uk-UA"/>
        </w:rPr>
      </w:pPr>
      <w:r w:rsidRPr="00440685">
        <w:rPr>
          <w:rFonts w:ascii="Times New Roman" w:hAnsi="Times New Roman" w:cs="Times New Roman"/>
          <w:sz w:val="28"/>
          <w:szCs w:val="28"/>
          <w:lang w:val="uk-UA"/>
        </w:rPr>
        <w:t xml:space="preserve">Основним джерелом формування дохідної частини бюджету громади, як і в попередні періоди, залишатиметься податок </w:t>
      </w:r>
      <w:r w:rsidR="00440685">
        <w:rPr>
          <w:rFonts w:ascii="Times New Roman" w:hAnsi="Times New Roman" w:cs="Times New Roman"/>
          <w:sz w:val="28"/>
          <w:szCs w:val="28"/>
          <w:lang w:val="uk-UA"/>
        </w:rPr>
        <w:t xml:space="preserve">та збір </w:t>
      </w:r>
      <w:r w:rsidRPr="00440685">
        <w:rPr>
          <w:rFonts w:ascii="Times New Roman" w:hAnsi="Times New Roman" w:cs="Times New Roman"/>
          <w:sz w:val="28"/>
          <w:szCs w:val="28"/>
          <w:lang w:val="uk-UA"/>
        </w:rPr>
        <w:t xml:space="preserve">на доходи фізичних осіб, що сплачується податковими агентами із доходів платника податку у вигляді заробітної плати, та податок на доходи фізичних осіб з грошового забезпечення, грошових винагород, одержаних військовослужбовцями, та інших виплат. </w:t>
      </w:r>
      <w:r w:rsidRPr="00E44F01">
        <w:rPr>
          <w:rFonts w:ascii="Times New Roman" w:hAnsi="Times New Roman" w:cs="Times New Roman"/>
          <w:sz w:val="28"/>
          <w:szCs w:val="28"/>
          <w:lang w:val="uk-UA"/>
        </w:rPr>
        <w:t xml:space="preserve">Прогноз надходжень з податку </w:t>
      </w:r>
      <w:r w:rsidR="006F3117">
        <w:rPr>
          <w:rFonts w:ascii="Times New Roman" w:hAnsi="Times New Roman" w:cs="Times New Roman"/>
          <w:sz w:val="28"/>
          <w:szCs w:val="28"/>
          <w:lang w:val="uk-UA"/>
        </w:rPr>
        <w:t xml:space="preserve">та збору </w:t>
      </w:r>
      <w:r w:rsidRPr="00E44F01">
        <w:rPr>
          <w:rFonts w:ascii="Times New Roman" w:hAnsi="Times New Roman" w:cs="Times New Roman"/>
          <w:sz w:val="28"/>
          <w:szCs w:val="28"/>
          <w:lang w:val="uk-UA"/>
        </w:rPr>
        <w:t xml:space="preserve">на доходи фізичних осіб розраховано відповідно до єдиної ставки (18 %)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легалізації виплати заробітної плати. </w:t>
      </w:r>
    </w:p>
    <w:p w:rsidR="000362FF" w:rsidRDefault="00653AC4" w:rsidP="00796739">
      <w:pPr>
        <w:spacing w:after="0" w:line="360" w:lineRule="auto"/>
        <w:ind w:firstLine="709"/>
        <w:jc w:val="both"/>
        <w:rPr>
          <w:rFonts w:ascii="Times New Roman" w:hAnsi="Times New Roman" w:cs="Times New Roman"/>
          <w:sz w:val="28"/>
          <w:szCs w:val="28"/>
          <w:lang w:val="uk-UA"/>
        </w:rPr>
      </w:pPr>
      <w:r w:rsidRPr="00A949A5">
        <w:rPr>
          <w:rFonts w:ascii="Times New Roman" w:hAnsi="Times New Roman" w:cs="Times New Roman"/>
          <w:sz w:val="28"/>
          <w:szCs w:val="28"/>
        </w:rPr>
        <w:t xml:space="preserve">Темпи росту податку </w:t>
      </w:r>
      <w:r w:rsidR="006F3117">
        <w:rPr>
          <w:rFonts w:ascii="Times New Roman" w:hAnsi="Times New Roman" w:cs="Times New Roman"/>
          <w:sz w:val="28"/>
          <w:szCs w:val="28"/>
          <w:lang w:val="uk-UA"/>
        </w:rPr>
        <w:t xml:space="preserve">та збору </w:t>
      </w:r>
      <w:r w:rsidRPr="00A949A5">
        <w:rPr>
          <w:rFonts w:ascii="Times New Roman" w:hAnsi="Times New Roman" w:cs="Times New Roman"/>
          <w:sz w:val="28"/>
          <w:szCs w:val="28"/>
        </w:rPr>
        <w:t xml:space="preserve">на доходи фізичних осіб прогнозуються у 2022 році на рівні </w:t>
      </w:r>
      <w:r w:rsidR="000362FF">
        <w:rPr>
          <w:rFonts w:ascii="Times New Roman" w:hAnsi="Times New Roman" w:cs="Times New Roman"/>
          <w:sz w:val="28"/>
          <w:szCs w:val="28"/>
          <w:lang w:val="uk-UA"/>
        </w:rPr>
        <w:t>20,4</w:t>
      </w:r>
      <w:r w:rsidRPr="00A949A5">
        <w:rPr>
          <w:rFonts w:ascii="Times New Roman" w:hAnsi="Times New Roman" w:cs="Times New Roman"/>
          <w:sz w:val="28"/>
          <w:szCs w:val="28"/>
        </w:rPr>
        <w:t>%</w:t>
      </w:r>
      <w:r w:rsidR="009E3383">
        <w:rPr>
          <w:rFonts w:ascii="Times New Roman" w:hAnsi="Times New Roman" w:cs="Times New Roman"/>
          <w:sz w:val="28"/>
          <w:szCs w:val="28"/>
          <w:lang w:val="uk-UA"/>
        </w:rPr>
        <w:t xml:space="preserve"> (8,4 % до уточненого плану)</w:t>
      </w:r>
      <w:r w:rsidRPr="00A949A5">
        <w:rPr>
          <w:rFonts w:ascii="Times New Roman" w:hAnsi="Times New Roman" w:cs="Times New Roman"/>
          <w:sz w:val="28"/>
          <w:szCs w:val="28"/>
        </w:rPr>
        <w:t>, у 2023 році – на 9,</w:t>
      </w:r>
      <w:r w:rsidR="000362FF">
        <w:rPr>
          <w:rFonts w:ascii="Times New Roman" w:hAnsi="Times New Roman" w:cs="Times New Roman"/>
          <w:sz w:val="28"/>
          <w:szCs w:val="28"/>
          <w:lang w:val="uk-UA"/>
        </w:rPr>
        <w:t>6</w:t>
      </w:r>
      <w:r w:rsidRPr="00A949A5">
        <w:rPr>
          <w:rFonts w:ascii="Times New Roman" w:hAnsi="Times New Roman" w:cs="Times New Roman"/>
          <w:sz w:val="28"/>
          <w:szCs w:val="28"/>
        </w:rPr>
        <w:t xml:space="preserve">% та у 2024 році – на 6,8%. </w:t>
      </w:r>
    </w:p>
    <w:p w:rsidR="006D5F96" w:rsidRDefault="00A2014B" w:rsidP="006D5F96">
      <w:pPr>
        <w:spacing w:after="0" w:line="360" w:lineRule="auto"/>
        <w:jc w:val="both"/>
        <w:rPr>
          <w:rFonts w:ascii="Times New Roman" w:hAnsi="Times New Roman" w:cs="Times New Roman"/>
          <w:sz w:val="28"/>
          <w:szCs w:val="28"/>
          <w:lang w:val="uk-UA"/>
        </w:rPr>
      </w:pPr>
      <w:r w:rsidRPr="00A2014B">
        <w:rPr>
          <w:rFonts w:ascii="Times New Roman" w:hAnsi="Times New Roman" w:cs="Times New Roman"/>
          <w:noProof/>
          <w:sz w:val="28"/>
          <w:szCs w:val="28"/>
          <w:lang w:val="en-US"/>
        </w:rPr>
        <w:lastRenderedPageBreak/>
        <w:drawing>
          <wp:inline distT="0" distB="0" distL="0" distR="0">
            <wp:extent cx="5940425" cy="3746103"/>
            <wp:effectExtent l="1905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362FF" w:rsidRDefault="00653AC4" w:rsidP="00796739">
      <w:pPr>
        <w:spacing w:after="0" w:line="360" w:lineRule="auto"/>
        <w:ind w:firstLine="709"/>
        <w:jc w:val="both"/>
        <w:rPr>
          <w:rFonts w:ascii="Times New Roman" w:hAnsi="Times New Roman" w:cs="Times New Roman"/>
          <w:sz w:val="28"/>
          <w:szCs w:val="28"/>
          <w:lang w:val="uk-UA"/>
        </w:rPr>
      </w:pPr>
      <w:r w:rsidRPr="00A949A5">
        <w:rPr>
          <w:rFonts w:ascii="Times New Roman" w:hAnsi="Times New Roman" w:cs="Times New Roman"/>
          <w:sz w:val="28"/>
          <w:szCs w:val="28"/>
        </w:rPr>
        <w:t xml:space="preserve">Єдиний податок – це другий бюджетоутворюючий податок. Прогнозний обсяг єдиного податку на 2022-2024 роки розраховано з урахуванням положень Податкового кодексу України, фактичних надходжень, кількості платників, за ставками, встановленими рішенням </w:t>
      </w:r>
      <w:r w:rsidR="000362FF">
        <w:rPr>
          <w:rFonts w:ascii="Times New Roman" w:hAnsi="Times New Roman" w:cs="Times New Roman"/>
          <w:sz w:val="28"/>
          <w:szCs w:val="28"/>
          <w:lang w:val="uk-UA"/>
        </w:rPr>
        <w:t>Лубенської</w:t>
      </w:r>
      <w:r w:rsidRPr="00A949A5">
        <w:rPr>
          <w:rFonts w:ascii="Times New Roman" w:hAnsi="Times New Roman" w:cs="Times New Roman"/>
          <w:sz w:val="28"/>
          <w:szCs w:val="28"/>
        </w:rPr>
        <w:t xml:space="preserve"> міської ради від </w:t>
      </w:r>
      <w:r w:rsidR="000362FF">
        <w:rPr>
          <w:rFonts w:ascii="Times New Roman" w:hAnsi="Times New Roman" w:cs="Times New Roman"/>
          <w:sz w:val="28"/>
          <w:szCs w:val="28"/>
          <w:lang w:val="uk-UA"/>
        </w:rPr>
        <w:t>18</w:t>
      </w:r>
      <w:r w:rsidRPr="00A949A5">
        <w:rPr>
          <w:rFonts w:ascii="Times New Roman" w:hAnsi="Times New Roman" w:cs="Times New Roman"/>
          <w:sz w:val="28"/>
          <w:szCs w:val="28"/>
        </w:rPr>
        <w:t xml:space="preserve"> липня 202</w:t>
      </w:r>
      <w:r w:rsidR="000362FF">
        <w:rPr>
          <w:rFonts w:ascii="Times New Roman" w:hAnsi="Times New Roman" w:cs="Times New Roman"/>
          <w:sz w:val="28"/>
          <w:szCs w:val="28"/>
          <w:lang w:val="uk-UA"/>
        </w:rPr>
        <w:t>0</w:t>
      </w:r>
      <w:r w:rsidR="000362FF">
        <w:rPr>
          <w:rFonts w:ascii="Times New Roman" w:hAnsi="Times New Roman" w:cs="Times New Roman"/>
          <w:sz w:val="28"/>
          <w:szCs w:val="28"/>
        </w:rPr>
        <w:t xml:space="preserve"> року</w:t>
      </w:r>
      <w:r w:rsidRPr="00A949A5">
        <w:rPr>
          <w:rFonts w:ascii="Times New Roman" w:hAnsi="Times New Roman" w:cs="Times New Roman"/>
          <w:sz w:val="28"/>
          <w:szCs w:val="28"/>
        </w:rPr>
        <w:t xml:space="preserve">. Темпи росту єдиного податку прогнозуються у 2022 році на рівні </w:t>
      </w:r>
      <w:r w:rsidR="000362FF">
        <w:rPr>
          <w:rFonts w:ascii="Times New Roman" w:hAnsi="Times New Roman" w:cs="Times New Roman"/>
          <w:sz w:val="28"/>
          <w:szCs w:val="28"/>
          <w:lang w:val="uk-UA"/>
        </w:rPr>
        <w:t>10,7</w:t>
      </w:r>
      <w:r w:rsidRPr="00A949A5">
        <w:rPr>
          <w:rFonts w:ascii="Times New Roman" w:hAnsi="Times New Roman" w:cs="Times New Roman"/>
          <w:sz w:val="28"/>
          <w:szCs w:val="28"/>
        </w:rPr>
        <w:t xml:space="preserve"> %, у 2023 році – на </w:t>
      </w:r>
      <w:r w:rsidR="000362FF">
        <w:rPr>
          <w:rFonts w:ascii="Times New Roman" w:hAnsi="Times New Roman" w:cs="Times New Roman"/>
          <w:sz w:val="28"/>
          <w:szCs w:val="28"/>
          <w:lang w:val="uk-UA"/>
        </w:rPr>
        <w:t>7,0</w:t>
      </w:r>
      <w:r w:rsidRPr="00A949A5">
        <w:rPr>
          <w:rFonts w:ascii="Times New Roman" w:hAnsi="Times New Roman" w:cs="Times New Roman"/>
          <w:sz w:val="28"/>
          <w:szCs w:val="28"/>
        </w:rPr>
        <w:t xml:space="preserve"> % та у 2024 році – на 5,</w:t>
      </w:r>
      <w:r w:rsidR="000362FF">
        <w:rPr>
          <w:rFonts w:ascii="Times New Roman" w:hAnsi="Times New Roman" w:cs="Times New Roman"/>
          <w:sz w:val="28"/>
          <w:szCs w:val="28"/>
          <w:lang w:val="uk-UA"/>
        </w:rPr>
        <w:t>1</w:t>
      </w:r>
      <w:r w:rsidRPr="00A949A5">
        <w:rPr>
          <w:rFonts w:ascii="Times New Roman" w:hAnsi="Times New Roman" w:cs="Times New Roman"/>
          <w:sz w:val="28"/>
          <w:szCs w:val="28"/>
        </w:rPr>
        <w:t xml:space="preserve"> %. </w:t>
      </w:r>
    </w:p>
    <w:p w:rsidR="003451E5" w:rsidRPr="003451E5" w:rsidRDefault="003451E5" w:rsidP="003451E5">
      <w:pPr>
        <w:spacing w:after="0" w:line="360" w:lineRule="auto"/>
        <w:jc w:val="both"/>
        <w:rPr>
          <w:rFonts w:ascii="Times New Roman" w:hAnsi="Times New Roman" w:cs="Times New Roman"/>
          <w:sz w:val="28"/>
          <w:szCs w:val="28"/>
          <w:lang w:val="uk-UA"/>
        </w:rPr>
      </w:pPr>
      <w:r w:rsidRPr="003451E5">
        <w:rPr>
          <w:rFonts w:ascii="Times New Roman" w:hAnsi="Times New Roman" w:cs="Times New Roman"/>
          <w:noProof/>
          <w:sz w:val="28"/>
          <w:szCs w:val="28"/>
          <w:lang w:val="en-US"/>
        </w:rPr>
        <w:drawing>
          <wp:inline distT="0" distB="0" distL="0" distR="0">
            <wp:extent cx="5940425" cy="2753478"/>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C72B6" w:rsidRDefault="00653AC4" w:rsidP="00796739">
      <w:pPr>
        <w:spacing w:after="0" w:line="360" w:lineRule="auto"/>
        <w:ind w:firstLine="709"/>
        <w:jc w:val="both"/>
        <w:rPr>
          <w:rFonts w:ascii="Times New Roman" w:hAnsi="Times New Roman" w:cs="Times New Roman"/>
          <w:sz w:val="28"/>
          <w:szCs w:val="28"/>
          <w:lang w:val="uk-UA"/>
        </w:rPr>
      </w:pPr>
      <w:r w:rsidRPr="00A949A5">
        <w:rPr>
          <w:rFonts w:ascii="Times New Roman" w:hAnsi="Times New Roman" w:cs="Times New Roman"/>
          <w:sz w:val="28"/>
          <w:szCs w:val="28"/>
        </w:rPr>
        <w:lastRenderedPageBreak/>
        <w:t xml:space="preserve">Розрахунок прогнозної суми плати за землю на 2022-2024 роки проведено за підсумками фактичних надходжень за попередні роки, </w:t>
      </w:r>
      <w:r w:rsidR="00CC4944">
        <w:rPr>
          <w:rFonts w:ascii="Times New Roman" w:hAnsi="Times New Roman" w:cs="Times New Roman"/>
          <w:sz w:val="28"/>
          <w:szCs w:val="28"/>
          <w:lang w:val="uk-UA"/>
        </w:rPr>
        <w:t>враховуючи ставки та пільги</w:t>
      </w:r>
      <w:r w:rsidRPr="00A949A5">
        <w:rPr>
          <w:rFonts w:ascii="Times New Roman" w:hAnsi="Times New Roman" w:cs="Times New Roman"/>
          <w:sz w:val="28"/>
          <w:szCs w:val="28"/>
        </w:rPr>
        <w:t>, визначен</w:t>
      </w:r>
      <w:r w:rsidR="00CC4944">
        <w:rPr>
          <w:rFonts w:ascii="Times New Roman" w:hAnsi="Times New Roman" w:cs="Times New Roman"/>
          <w:sz w:val="28"/>
          <w:szCs w:val="28"/>
          <w:lang w:val="uk-UA"/>
        </w:rPr>
        <w:t xml:space="preserve">і </w:t>
      </w:r>
      <w:r w:rsidRPr="00A949A5">
        <w:rPr>
          <w:rFonts w:ascii="Times New Roman" w:hAnsi="Times New Roman" w:cs="Times New Roman"/>
          <w:sz w:val="28"/>
          <w:szCs w:val="28"/>
        </w:rPr>
        <w:t xml:space="preserve">рішеннями міської ради, щодо земельного податку (від </w:t>
      </w:r>
      <w:r w:rsidR="00BC72B6">
        <w:rPr>
          <w:rFonts w:ascii="Times New Roman" w:hAnsi="Times New Roman" w:cs="Times New Roman"/>
          <w:sz w:val="28"/>
          <w:szCs w:val="28"/>
          <w:lang w:val="uk-UA"/>
        </w:rPr>
        <w:t>10 червня</w:t>
      </w:r>
      <w:r w:rsidRPr="00A949A5">
        <w:rPr>
          <w:rFonts w:ascii="Times New Roman" w:hAnsi="Times New Roman" w:cs="Times New Roman"/>
          <w:sz w:val="28"/>
          <w:szCs w:val="28"/>
        </w:rPr>
        <w:t xml:space="preserve"> 20</w:t>
      </w:r>
      <w:r w:rsidR="00BC72B6">
        <w:rPr>
          <w:rFonts w:ascii="Times New Roman" w:hAnsi="Times New Roman" w:cs="Times New Roman"/>
          <w:sz w:val="28"/>
          <w:szCs w:val="28"/>
          <w:lang w:val="uk-UA"/>
        </w:rPr>
        <w:t>21</w:t>
      </w:r>
      <w:r w:rsidR="00BC72B6">
        <w:rPr>
          <w:rFonts w:ascii="Times New Roman" w:hAnsi="Times New Roman" w:cs="Times New Roman"/>
          <w:sz w:val="28"/>
          <w:szCs w:val="28"/>
        </w:rPr>
        <w:t xml:space="preserve"> року</w:t>
      </w:r>
      <w:r w:rsidRPr="00A949A5">
        <w:rPr>
          <w:rFonts w:ascii="Times New Roman" w:hAnsi="Times New Roman" w:cs="Times New Roman"/>
          <w:sz w:val="28"/>
          <w:szCs w:val="28"/>
        </w:rPr>
        <w:t>),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правовстановлювальних документів, пог</w:t>
      </w:r>
      <w:r w:rsidR="00BC72B6">
        <w:rPr>
          <w:rFonts w:ascii="Times New Roman" w:hAnsi="Times New Roman" w:cs="Times New Roman"/>
          <w:sz w:val="28"/>
          <w:szCs w:val="28"/>
        </w:rPr>
        <w:t>ашення податкового боргу</w:t>
      </w:r>
      <w:r w:rsidR="00BC72B6">
        <w:rPr>
          <w:rFonts w:ascii="Times New Roman" w:hAnsi="Times New Roman" w:cs="Times New Roman"/>
          <w:sz w:val="28"/>
          <w:szCs w:val="28"/>
          <w:lang w:val="uk-UA"/>
        </w:rPr>
        <w:t>.</w:t>
      </w:r>
      <w:r w:rsidRPr="00A949A5">
        <w:rPr>
          <w:rFonts w:ascii="Times New Roman" w:hAnsi="Times New Roman" w:cs="Times New Roman"/>
          <w:sz w:val="28"/>
          <w:szCs w:val="28"/>
        </w:rPr>
        <w:t xml:space="preserve"> Темпи росту з плати за землю прогнозуються у 2022 році на рівні </w:t>
      </w:r>
      <w:r w:rsidR="00BC72B6">
        <w:rPr>
          <w:rFonts w:ascii="Times New Roman" w:hAnsi="Times New Roman" w:cs="Times New Roman"/>
          <w:sz w:val="28"/>
          <w:szCs w:val="28"/>
          <w:lang w:val="uk-UA"/>
        </w:rPr>
        <w:t>6,8</w:t>
      </w:r>
      <w:r w:rsidRPr="00A949A5">
        <w:rPr>
          <w:rFonts w:ascii="Times New Roman" w:hAnsi="Times New Roman" w:cs="Times New Roman"/>
          <w:sz w:val="28"/>
          <w:szCs w:val="28"/>
        </w:rPr>
        <w:t xml:space="preserve"> %, у 2023 році – на </w:t>
      </w:r>
      <w:r w:rsidR="00BC72B6">
        <w:rPr>
          <w:rFonts w:ascii="Times New Roman" w:hAnsi="Times New Roman" w:cs="Times New Roman"/>
          <w:sz w:val="28"/>
          <w:szCs w:val="28"/>
          <w:lang w:val="uk-UA"/>
        </w:rPr>
        <w:t>2,3</w:t>
      </w:r>
      <w:r w:rsidRPr="00A949A5">
        <w:rPr>
          <w:rFonts w:ascii="Times New Roman" w:hAnsi="Times New Roman" w:cs="Times New Roman"/>
          <w:sz w:val="28"/>
          <w:szCs w:val="28"/>
        </w:rPr>
        <w:t xml:space="preserve"> %, у 2024 році – на </w:t>
      </w:r>
      <w:r w:rsidR="00BC72B6">
        <w:rPr>
          <w:rFonts w:ascii="Times New Roman" w:hAnsi="Times New Roman" w:cs="Times New Roman"/>
          <w:sz w:val="28"/>
          <w:szCs w:val="28"/>
          <w:lang w:val="uk-UA"/>
        </w:rPr>
        <w:t>2,9</w:t>
      </w:r>
      <w:r w:rsidRPr="00A949A5">
        <w:rPr>
          <w:rFonts w:ascii="Times New Roman" w:hAnsi="Times New Roman" w:cs="Times New Roman"/>
          <w:sz w:val="28"/>
          <w:szCs w:val="28"/>
        </w:rPr>
        <w:t xml:space="preserve"> %. </w:t>
      </w:r>
    </w:p>
    <w:p w:rsidR="00BC72B6" w:rsidRDefault="00653AC4" w:rsidP="00796739">
      <w:pPr>
        <w:spacing w:after="0" w:line="360" w:lineRule="auto"/>
        <w:ind w:firstLine="709"/>
        <w:jc w:val="both"/>
        <w:rPr>
          <w:rFonts w:ascii="Times New Roman" w:hAnsi="Times New Roman" w:cs="Times New Roman"/>
          <w:sz w:val="28"/>
          <w:szCs w:val="28"/>
          <w:lang w:val="uk-UA"/>
        </w:rPr>
      </w:pPr>
      <w:r w:rsidRPr="00BC72B6">
        <w:rPr>
          <w:rFonts w:ascii="Times New Roman" w:hAnsi="Times New Roman" w:cs="Times New Roman"/>
          <w:sz w:val="28"/>
          <w:szCs w:val="28"/>
          <w:lang w:val="uk-UA"/>
        </w:rPr>
        <w:t xml:space="preserve">Податок на нерухоме майно, відмінне від земельної ділянки, та туристичний збір на 2022-20224 роки прогнозуються з урахуванням  </w:t>
      </w:r>
      <w:r w:rsidR="008427F6">
        <w:rPr>
          <w:rFonts w:ascii="Times New Roman" w:hAnsi="Times New Roman" w:cs="Times New Roman"/>
          <w:sz w:val="28"/>
          <w:szCs w:val="28"/>
          <w:lang w:val="uk-UA"/>
        </w:rPr>
        <w:t>ставок та пільг</w:t>
      </w:r>
      <w:r w:rsidRPr="00BC72B6">
        <w:rPr>
          <w:rFonts w:ascii="Times New Roman" w:hAnsi="Times New Roman" w:cs="Times New Roman"/>
          <w:sz w:val="28"/>
          <w:szCs w:val="28"/>
          <w:lang w:val="uk-UA"/>
        </w:rPr>
        <w:t xml:space="preserve"> податку, які встановлені рішеннями </w:t>
      </w:r>
      <w:r w:rsidR="00BC72B6">
        <w:rPr>
          <w:rFonts w:ascii="Times New Roman" w:hAnsi="Times New Roman" w:cs="Times New Roman"/>
          <w:sz w:val="28"/>
          <w:szCs w:val="28"/>
          <w:lang w:val="uk-UA"/>
        </w:rPr>
        <w:t>Лубенської</w:t>
      </w:r>
      <w:r w:rsidRPr="00BC72B6">
        <w:rPr>
          <w:rFonts w:ascii="Times New Roman" w:hAnsi="Times New Roman" w:cs="Times New Roman"/>
          <w:sz w:val="28"/>
          <w:szCs w:val="28"/>
          <w:lang w:val="uk-UA"/>
        </w:rPr>
        <w:t xml:space="preserve"> міської ради від </w:t>
      </w:r>
      <w:r w:rsidR="000B2903">
        <w:rPr>
          <w:rFonts w:ascii="Times New Roman" w:hAnsi="Times New Roman" w:cs="Times New Roman"/>
          <w:sz w:val="28"/>
          <w:szCs w:val="28"/>
          <w:lang w:val="uk-UA"/>
        </w:rPr>
        <w:t xml:space="preserve">          </w:t>
      </w:r>
      <w:r w:rsidR="00BC72B6">
        <w:rPr>
          <w:rFonts w:ascii="Times New Roman" w:hAnsi="Times New Roman" w:cs="Times New Roman"/>
          <w:sz w:val="28"/>
          <w:szCs w:val="28"/>
          <w:lang w:val="uk-UA"/>
        </w:rPr>
        <w:t>10 червня</w:t>
      </w:r>
      <w:r w:rsidRPr="00BC72B6">
        <w:rPr>
          <w:rFonts w:ascii="Times New Roman" w:hAnsi="Times New Roman" w:cs="Times New Roman"/>
          <w:sz w:val="28"/>
          <w:szCs w:val="28"/>
          <w:lang w:val="uk-UA"/>
        </w:rPr>
        <w:t xml:space="preserve"> липня 2021 року  та темпів зростання мінімальної заробітної плати. </w:t>
      </w:r>
    </w:p>
    <w:p w:rsidR="003451E5" w:rsidRPr="00C8567D" w:rsidRDefault="003451E5" w:rsidP="004320C8">
      <w:pPr>
        <w:spacing w:after="0" w:line="240" w:lineRule="auto"/>
        <w:jc w:val="both"/>
        <w:rPr>
          <w:rFonts w:ascii="Times New Roman" w:hAnsi="Times New Roman" w:cs="Times New Roman"/>
          <w:sz w:val="28"/>
          <w:szCs w:val="28"/>
          <w:lang w:val="uk-UA"/>
        </w:rPr>
      </w:pPr>
    </w:p>
    <w:p w:rsidR="00A2014B" w:rsidRPr="00C8567D" w:rsidRDefault="00A2014B" w:rsidP="004320C8">
      <w:pPr>
        <w:spacing w:after="0" w:line="240" w:lineRule="auto"/>
        <w:jc w:val="both"/>
        <w:rPr>
          <w:rFonts w:ascii="Times New Roman" w:hAnsi="Times New Roman" w:cs="Times New Roman"/>
          <w:sz w:val="28"/>
          <w:szCs w:val="28"/>
          <w:lang w:val="uk-UA"/>
        </w:rPr>
      </w:pPr>
    </w:p>
    <w:p w:rsidR="00A2014B" w:rsidRPr="00C8567D" w:rsidRDefault="00A2014B" w:rsidP="004320C8">
      <w:pPr>
        <w:spacing w:after="0" w:line="240" w:lineRule="auto"/>
        <w:jc w:val="both"/>
        <w:rPr>
          <w:rFonts w:ascii="Times New Roman" w:hAnsi="Times New Roman" w:cs="Times New Roman"/>
          <w:sz w:val="28"/>
          <w:szCs w:val="28"/>
          <w:lang w:val="uk-UA"/>
        </w:rPr>
      </w:pPr>
    </w:p>
    <w:p w:rsidR="00A2014B" w:rsidRPr="00C8567D" w:rsidRDefault="00A2014B" w:rsidP="004320C8">
      <w:pPr>
        <w:spacing w:after="0" w:line="240" w:lineRule="auto"/>
        <w:jc w:val="both"/>
        <w:rPr>
          <w:rFonts w:ascii="Times New Roman" w:hAnsi="Times New Roman" w:cs="Times New Roman"/>
          <w:sz w:val="28"/>
          <w:szCs w:val="28"/>
          <w:lang w:val="uk-UA"/>
        </w:rPr>
      </w:pPr>
    </w:p>
    <w:p w:rsidR="004320C8" w:rsidRDefault="00F214FA" w:rsidP="004320C8">
      <w:pPr>
        <w:spacing w:after="0" w:line="240" w:lineRule="auto"/>
        <w:ind w:firstLine="709"/>
        <w:jc w:val="center"/>
        <w:rPr>
          <w:rFonts w:ascii="Times New Roman" w:hAnsi="Times New Roman" w:cs="Times New Roman"/>
          <w:b/>
          <w:bCs/>
          <w:sz w:val="28"/>
          <w:szCs w:val="28"/>
          <w:lang w:val="uk-UA"/>
        </w:rPr>
      </w:pPr>
      <w:r w:rsidRPr="00F214FA">
        <w:rPr>
          <w:rFonts w:ascii="Times New Roman" w:hAnsi="Times New Roman" w:cs="Times New Roman"/>
          <w:b/>
          <w:bCs/>
          <w:sz w:val="28"/>
          <w:szCs w:val="28"/>
        </w:rPr>
        <w:t xml:space="preserve">Динаміка надходження </w:t>
      </w:r>
      <w:r w:rsidR="006F3117">
        <w:rPr>
          <w:rFonts w:ascii="Times New Roman" w:hAnsi="Times New Roman" w:cs="Times New Roman"/>
          <w:b/>
          <w:bCs/>
          <w:sz w:val="28"/>
          <w:szCs w:val="28"/>
          <w:lang w:val="uk-UA"/>
        </w:rPr>
        <w:t xml:space="preserve">плати за </w:t>
      </w:r>
      <w:r w:rsidR="006F3117">
        <w:rPr>
          <w:rFonts w:ascii="Times New Roman" w:hAnsi="Times New Roman" w:cs="Times New Roman"/>
          <w:b/>
          <w:bCs/>
          <w:sz w:val="28"/>
          <w:szCs w:val="28"/>
        </w:rPr>
        <w:t>зем</w:t>
      </w:r>
      <w:r w:rsidR="006F3117">
        <w:rPr>
          <w:rFonts w:ascii="Times New Roman" w:hAnsi="Times New Roman" w:cs="Times New Roman"/>
          <w:b/>
          <w:bCs/>
          <w:sz w:val="28"/>
          <w:szCs w:val="28"/>
          <w:lang w:val="uk-UA"/>
        </w:rPr>
        <w:t xml:space="preserve">лю </w:t>
      </w:r>
      <w:r w:rsidRPr="00F214FA">
        <w:rPr>
          <w:rFonts w:ascii="Times New Roman" w:hAnsi="Times New Roman" w:cs="Times New Roman"/>
          <w:b/>
          <w:bCs/>
          <w:sz w:val="28"/>
          <w:szCs w:val="28"/>
        </w:rPr>
        <w:t xml:space="preserve"> </w:t>
      </w:r>
    </w:p>
    <w:p w:rsidR="00F214FA" w:rsidRDefault="00F214FA" w:rsidP="004320C8">
      <w:pPr>
        <w:spacing w:after="0" w:line="240" w:lineRule="auto"/>
        <w:ind w:firstLine="709"/>
        <w:jc w:val="center"/>
        <w:rPr>
          <w:rFonts w:ascii="Times New Roman" w:hAnsi="Times New Roman" w:cs="Times New Roman"/>
          <w:b/>
          <w:bCs/>
          <w:sz w:val="28"/>
          <w:szCs w:val="28"/>
          <w:lang w:val="uk-UA"/>
        </w:rPr>
      </w:pPr>
      <w:r w:rsidRPr="00F214FA">
        <w:rPr>
          <w:rFonts w:ascii="Times New Roman" w:hAnsi="Times New Roman" w:cs="Times New Roman"/>
          <w:b/>
          <w:bCs/>
          <w:sz w:val="28"/>
          <w:szCs w:val="28"/>
        </w:rPr>
        <w:t xml:space="preserve"> та податку на нерухоме майно</w:t>
      </w:r>
    </w:p>
    <w:p w:rsidR="009F141F" w:rsidRPr="00A2014B" w:rsidRDefault="00A2014B" w:rsidP="00A2014B">
      <w:pPr>
        <w:spacing w:after="0" w:line="240" w:lineRule="auto"/>
        <w:rPr>
          <w:rFonts w:ascii="Times New Roman" w:hAnsi="Times New Roman" w:cs="Times New Roman"/>
          <w:bCs/>
          <w:sz w:val="28"/>
          <w:szCs w:val="28"/>
          <w:lang w:val="en-US"/>
        </w:rPr>
      </w:pPr>
      <w:r w:rsidRPr="00A2014B">
        <w:rPr>
          <w:rFonts w:ascii="Times New Roman" w:hAnsi="Times New Roman" w:cs="Times New Roman"/>
          <w:bCs/>
          <w:noProof/>
          <w:sz w:val="28"/>
          <w:szCs w:val="28"/>
          <w:lang w:val="en-US"/>
        </w:rPr>
        <w:drawing>
          <wp:inline distT="0" distB="0" distL="0" distR="0">
            <wp:extent cx="5940425" cy="3570141"/>
            <wp:effectExtent l="57150" t="19050" r="22225"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C72B6" w:rsidRDefault="00653AC4" w:rsidP="00796739">
      <w:pPr>
        <w:spacing w:after="0" w:line="360" w:lineRule="auto"/>
        <w:ind w:firstLine="709"/>
        <w:jc w:val="both"/>
        <w:rPr>
          <w:rFonts w:ascii="Times New Roman" w:hAnsi="Times New Roman" w:cs="Times New Roman"/>
          <w:sz w:val="28"/>
          <w:szCs w:val="28"/>
          <w:lang w:val="uk-UA"/>
        </w:rPr>
      </w:pPr>
      <w:r w:rsidRPr="00A949A5">
        <w:rPr>
          <w:rFonts w:ascii="Times New Roman" w:hAnsi="Times New Roman" w:cs="Times New Roman"/>
          <w:sz w:val="28"/>
          <w:szCs w:val="28"/>
        </w:rPr>
        <w:lastRenderedPageBreak/>
        <w:t>Прогнозні надходження акцизного податку на 2022-2024 роки розраховані виходячи з фактичних надходжень, розширення бази оподаткува</w:t>
      </w:r>
      <w:r w:rsidR="00BC72B6">
        <w:rPr>
          <w:rFonts w:ascii="Times New Roman" w:hAnsi="Times New Roman" w:cs="Times New Roman"/>
          <w:sz w:val="28"/>
          <w:szCs w:val="28"/>
        </w:rPr>
        <w:t xml:space="preserve">ння, за </w:t>
      </w:r>
      <w:r w:rsidRPr="00A949A5">
        <w:rPr>
          <w:rFonts w:ascii="Times New Roman" w:hAnsi="Times New Roman" w:cs="Times New Roman"/>
          <w:sz w:val="28"/>
          <w:szCs w:val="28"/>
        </w:rPr>
        <w:t xml:space="preserve">ставкою 5 % в частині акцизного податку з реалізації суб'єктами господарювання роздрібної торгівлі підакцизних товарів (пива, алкогольних напоїв, тютюнових виробів, тютюну та промислових замінників тютюну) та з урахуванням вимог діючого законодавства щодо спрямування частини акцизного податку з виробленого в Україні та ввезеного на митну територію України пального в розмірі 13,44 відсотка до бюджетів територіальних громад. </w:t>
      </w:r>
    </w:p>
    <w:p w:rsidR="00E21E8B" w:rsidRDefault="00653AC4" w:rsidP="00796739">
      <w:pPr>
        <w:spacing w:after="0" w:line="360" w:lineRule="auto"/>
        <w:ind w:firstLine="709"/>
        <w:jc w:val="both"/>
        <w:rPr>
          <w:rFonts w:ascii="Times New Roman" w:hAnsi="Times New Roman" w:cs="Times New Roman"/>
          <w:sz w:val="28"/>
          <w:szCs w:val="28"/>
          <w:lang w:val="uk-UA"/>
        </w:rPr>
      </w:pPr>
      <w:r w:rsidRPr="00A949A5">
        <w:rPr>
          <w:rFonts w:ascii="Times New Roman" w:hAnsi="Times New Roman" w:cs="Times New Roman"/>
          <w:sz w:val="28"/>
          <w:szCs w:val="28"/>
        </w:rPr>
        <w:t xml:space="preserve">Темпи росту акцизного податку прогнозуються у 2022 році на рівні </w:t>
      </w:r>
      <w:r w:rsidR="006F3117">
        <w:rPr>
          <w:rFonts w:ascii="Times New Roman" w:hAnsi="Times New Roman" w:cs="Times New Roman"/>
          <w:sz w:val="28"/>
          <w:szCs w:val="28"/>
          <w:lang w:val="uk-UA"/>
        </w:rPr>
        <w:t xml:space="preserve">  </w:t>
      </w:r>
      <w:r w:rsidR="00BC72B6">
        <w:rPr>
          <w:rFonts w:ascii="Times New Roman" w:hAnsi="Times New Roman" w:cs="Times New Roman"/>
          <w:sz w:val="28"/>
          <w:szCs w:val="28"/>
          <w:lang w:val="uk-UA"/>
        </w:rPr>
        <w:t>8,5</w:t>
      </w:r>
      <w:r w:rsidRPr="00A949A5">
        <w:rPr>
          <w:rFonts w:ascii="Times New Roman" w:hAnsi="Times New Roman" w:cs="Times New Roman"/>
          <w:sz w:val="28"/>
          <w:szCs w:val="28"/>
        </w:rPr>
        <w:t xml:space="preserve"> %, у 2023 році – на </w:t>
      </w:r>
      <w:r w:rsidR="00BC72B6">
        <w:rPr>
          <w:rFonts w:ascii="Times New Roman" w:hAnsi="Times New Roman" w:cs="Times New Roman"/>
          <w:sz w:val="28"/>
          <w:szCs w:val="28"/>
          <w:lang w:val="uk-UA"/>
        </w:rPr>
        <w:t>3,0</w:t>
      </w:r>
      <w:r w:rsidRPr="00A949A5">
        <w:rPr>
          <w:rFonts w:ascii="Times New Roman" w:hAnsi="Times New Roman" w:cs="Times New Roman"/>
          <w:sz w:val="28"/>
          <w:szCs w:val="28"/>
        </w:rPr>
        <w:t xml:space="preserve"> % та у 2024 році – на </w:t>
      </w:r>
      <w:r w:rsidR="00E21E8B">
        <w:rPr>
          <w:rFonts w:ascii="Times New Roman" w:hAnsi="Times New Roman" w:cs="Times New Roman"/>
          <w:sz w:val="28"/>
          <w:szCs w:val="28"/>
          <w:lang w:val="uk-UA"/>
        </w:rPr>
        <w:t>3,2</w:t>
      </w:r>
      <w:r w:rsidRPr="00A949A5">
        <w:rPr>
          <w:rFonts w:ascii="Times New Roman" w:hAnsi="Times New Roman" w:cs="Times New Roman"/>
          <w:sz w:val="28"/>
          <w:szCs w:val="28"/>
        </w:rPr>
        <w:t xml:space="preserve"> %. </w:t>
      </w:r>
    </w:p>
    <w:p w:rsidR="003451E5" w:rsidRDefault="003451E5" w:rsidP="003451E5">
      <w:pPr>
        <w:spacing w:after="0" w:line="360" w:lineRule="auto"/>
        <w:jc w:val="both"/>
        <w:rPr>
          <w:rFonts w:ascii="Times New Roman" w:hAnsi="Times New Roman" w:cs="Times New Roman"/>
          <w:sz w:val="28"/>
          <w:szCs w:val="28"/>
          <w:lang w:val="uk-UA"/>
        </w:rPr>
      </w:pPr>
      <w:r w:rsidRPr="003451E5">
        <w:rPr>
          <w:rFonts w:ascii="Times New Roman" w:hAnsi="Times New Roman" w:cs="Times New Roman"/>
          <w:noProof/>
          <w:sz w:val="28"/>
          <w:szCs w:val="28"/>
          <w:lang w:val="en-US"/>
        </w:rPr>
        <w:drawing>
          <wp:inline distT="0" distB="0" distL="0" distR="0">
            <wp:extent cx="5940425" cy="3548682"/>
            <wp:effectExtent l="19050" t="0" r="3175"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451E5" w:rsidRPr="003451E5" w:rsidRDefault="003451E5" w:rsidP="00796739">
      <w:pPr>
        <w:spacing w:after="0" w:line="360" w:lineRule="auto"/>
        <w:ind w:firstLine="709"/>
        <w:jc w:val="both"/>
        <w:rPr>
          <w:rFonts w:ascii="Times New Roman" w:hAnsi="Times New Roman" w:cs="Times New Roman"/>
          <w:sz w:val="28"/>
          <w:szCs w:val="28"/>
          <w:lang w:val="uk-UA"/>
        </w:rPr>
      </w:pPr>
    </w:p>
    <w:p w:rsidR="003C1150" w:rsidRDefault="00653AC4" w:rsidP="00796739">
      <w:pPr>
        <w:spacing w:after="0" w:line="360" w:lineRule="auto"/>
        <w:ind w:firstLine="709"/>
        <w:jc w:val="both"/>
        <w:rPr>
          <w:rFonts w:ascii="Times New Roman" w:hAnsi="Times New Roman" w:cs="Times New Roman"/>
          <w:sz w:val="28"/>
          <w:szCs w:val="28"/>
          <w:lang w:val="uk-UA"/>
        </w:rPr>
      </w:pPr>
      <w:r w:rsidRPr="00E21E8B">
        <w:rPr>
          <w:rFonts w:ascii="Times New Roman" w:hAnsi="Times New Roman" w:cs="Times New Roman"/>
          <w:sz w:val="28"/>
          <w:szCs w:val="28"/>
          <w:lang w:val="uk-UA"/>
        </w:rPr>
        <w:t>Впровадження послідовної та передбачуваної податкової політики на території громади в середньостроковому періоді дозволить забезпечити середнь</w:t>
      </w:r>
      <w:r w:rsidR="00E21E8B" w:rsidRPr="00E21E8B">
        <w:rPr>
          <w:rFonts w:ascii="Times New Roman" w:hAnsi="Times New Roman" w:cs="Times New Roman"/>
          <w:sz w:val="28"/>
          <w:szCs w:val="28"/>
          <w:lang w:val="uk-UA"/>
        </w:rPr>
        <w:t>орічний приріст доходів бюджету</w:t>
      </w:r>
      <w:r w:rsidR="00E21E8B">
        <w:rPr>
          <w:rFonts w:ascii="Times New Roman" w:hAnsi="Times New Roman" w:cs="Times New Roman"/>
          <w:sz w:val="28"/>
          <w:szCs w:val="28"/>
          <w:lang w:val="uk-UA"/>
        </w:rPr>
        <w:t>,</w:t>
      </w:r>
      <w:r w:rsidRPr="00E21E8B">
        <w:rPr>
          <w:rFonts w:ascii="Times New Roman" w:hAnsi="Times New Roman" w:cs="Times New Roman"/>
          <w:sz w:val="28"/>
          <w:szCs w:val="28"/>
          <w:lang w:val="uk-UA"/>
        </w:rPr>
        <w:t xml:space="preserve"> </w:t>
      </w:r>
      <w:r w:rsidR="00E21E8B">
        <w:rPr>
          <w:rFonts w:ascii="Times New Roman" w:hAnsi="Times New Roman" w:cs="Times New Roman"/>
          <w:sz w:val="28"/>
          <w:szCs w:val="28"/>
          <w:lang w:val="uk-UA"/>
        </w:rPr>
        <w:t xml:space="preserve"> </w:t>
      </w:r>
      <w:r w:rsidRPr="00E21E8B">
        <w:rPr>
          <w:rFonts w:ascii="Times New Roman" w:hAnsi="Times New Roman" w:cs="Times New Roman"/>
          <w:sz w:val="28"/>
          <w:szCs w:val="28"/>
          <w:lang w:val="uk-UA"/>
        </w:rPr>
        <w:t>зростання бюджетоутворю</w:t>
      </w:r>
      <w:r w:rsidR="001C1614">
        <w:rPr>
          <w:rFonts w:ascii="Times New Roman" w:hAnsi="Times New Roman" w:cs="Times New Roman"/>
          <w:sz w:val="28"/>
          <w:szCs w:val="28"/>
          <w:lang w:val="uk-UA"/>
        </w:rPr>
        <w:t>ючих</w:t>
      </w:r>
      <w:r w:rsidRPr="00E21E8B">
        <w:rPr>
          <w:rFonts w:ascii="Times New Roman" w:hAnsi="Times New Roman" w:cs="Times New Roman"/>
          <w:sz w:val="28"/>
          <w:szCs w:val="28"/>
          <w:lang w:val="uk-UA"/>
        </w:rPr>
        <w:t xml:space="preserve"> податків, а саме податку </w:t>
      </w:r>
      <w:r w:rsidR="006F3117">
        <w:rPr>
          <w:rFonts w:ascii="Times New Roman" w:hAnsi="Times New Roman" w:cs="Times New Roman"/>
          <w:sz w:val="28"/>
          <w:szCs w:val="28"/>
          <w:lang w:val="uk-UA"/>
        </w:rPr>
        <w:t xml:space="preserve">та збору </w:t>
      </w:r>
      <w:r w:rsidRPr="00E21E8B">
        <w:rPr>
          <w:rFonts w:ascii="Times New Roman" w:hAnsi="Times New Roman" w:cs="Times New Roman"/>
          <w:sz w:val="28"/>
          <w:szCs w:val="28"/>
          <w:lang w:val="uk-UA"/>
        </w:rPr>
        <w:t>на доходи фізичних осіб, місцевих податків та зборів</w:t>
      </w:r>
      <w:r w:rsidR="00E21E8B">
        <w:rPr>
          <w:rFonts w:ascii="Times New Roman" w:hAnsi="Times New Roman" w:cs="Times New Roman"/>
          <w:sz w:val="28"/>
          <w:szCs w:val="28"/>
          <w:lang w:val="uk-UA"/>
        </w:rPr>
        <w:t xml:space="preserve"> та </w:t>
      </w:r>
      <w:r w:rsidRPr="00E21E8B">
        <w:rPr>
          <w:rFonts w:ascii="Times New Roman" w:hAnsi="Times New Roman" w:cs="Times New Roman"/>
          <w:sz w:val="28"/>
          <w:szCs w:val="28"/>
          <w:lang w:val="uk-UA"/>
        </w:rPr>
        <w:t xml:space="preserve"> зменшення податкового боргу. </w:t>
      </w:r>
    </w:p>
    <w:p w:rsidR="00365354" w:rsidRDefault="00365354" w:rsidP="00F769E7">
      <w:pPr>
        <w:autoSpaceDE w:val="0"/>
        <w:autoSpaceDN w:val="0"/>
        <w:adjustRightInd w:val="0"/>
        <w:jc w:val="center"/>
        <w:rPr>
          <w:rFonts w:ascii="Times New Roman" w:hAnsi="Times New Roman" w:cs="Times New Roman"/>
          <w:b/>
          <w:bCs/>
          <w:color w:val="000000"/>
          <w:sz w:val="28"/>
          <w:szCs w:val="28"/>
          <w:lang w:val="uk-UA"/>
        </w:rPr>
      </w:pPr>
    </w:p>
    <w:p w:rsidR="00F769E7" w:rsidRPr="00F769E7" w:rsidRDefault="00F769E7" w:rsidP="00365354">
      <w:pPr>
        <w:autoSpaceDE w:val="0"/>
        <w:autoSpaceDN w:val="0"/>
        <w:adjustRightInd w:val="0"/>
        <w:spacing w:after="0"/>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lastRenderedPageBreak/>
        <w:t>V. Показники фінансування бюджету, показники місцевого боргу,</w:t>
      </w:r>
    </w:p>
    <w:p w:rsidR="00F769E7" w:rsidRPr="00F769E7" w:rsidRDefault="00F769E7" w:rsidP="00365354">
      <w:pPr>
        <w:autoSpaceDE w:val="0"/>
        <w:autoSpaceDN w:val="0"/>
        <w:adjustRightInd w:val="0"/>
        <w:spacing w:after="0"/>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гарантованого Лубенською міською територіальною громадою  боргу та надання місцевих гарантій</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w:t>
      </w:r>
      <w:proofErr w:type="gramStart"/>
      <w:r w:rsidRPr="00F769E7">
        <w:rPr>
          <w:rFonts w:ascii="Times New Roman" w:hAnsi="Times New Roman" w:cs="Times New Roman"/>
          <w:color w:val="000000"/>
          <w:sz w:val="28"/>
          <w:szCs w:val="28"/>
        </w:rPr>
        <w:t>Показники  фінансування</w:t>
      </w:r>
      <w:proofErr w:type="gramEnd"/>
      <w:r w:rsidRPr="00F769E7">
        <w:rPr>
          <w:rFonts w:ascii="Times New Roman" w:hAnsi="Times New Roman" w:cs="Times New Roman"/>
          <w:color w:val="000000"/>
          <w:sz w:val="28"/>
          <w:szCs w:val="28"/>
        </w:rPr>
        <w:t xml:space="preserve">, місцевого боргу,  гарантованого  міською територіальною  громадою боргу та надання місцевих гарантій на </w:t>
      </w:r>
      <w:r w:rsidR="00365354">
        <w:rPr>
          <w:rFonts w:ascii="Times New Roman" w:hAnsi="Times New Roman" w:cs="Times New Roman"/>
          <w:color w:val="000000"/>
          <w:sz w:val="28"/>
          <w:szCs w:val="28"/>
          <w:lang w:val="uk-UA"/>
        </w:rPr>
        <w:t xml:space="preserve">            </w:t>
      </w:r>
      <w:r w:rsidRPr="00F769E7">
        <w:rPr>
          <w:rFonts w:ascii="Times New Roman" w:hAnsi="Times New Roman" w:cs="Times New Roman"/>
          <w:color w:val="000000"/>
          <w:sz w:val="28"/>
          <w:szCs w:val="28"/>
        </w:rPr>
        <w:t>2022-2024 роки наведено у додатках 3, 4, 5 до Прогнозу.</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У додатку 3 відображено показники фінансування бюджету, а саме планується направити кошти загального фонду до спеціального фонду (бюджету розвитку) для здійснення капітальних видатків та інвестиційних проєктів, спрямованих на зміцнення матеріально-технічної бази установ та закладів соціально-культурної сфери, розбудови об’єктів інфраструктури громади, житлово-комунального господарства тощо.</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Також в показниках фінансування бюджету міської територіальної громади в прогнозованому періоді враховано виконання зобов’язань за зовнішніми довгостроковими запозиченнями міжнародної фінансової екологічної корпорації НЕФКО.</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На виконання рішення позачергової п’ятдесят сьомої сесії сьомого скликання Лубенської міської ради від 01.10.2020 р. «Про здійснення запозичення для фінансування інвестиційного проєкту «Реконструкція системи водопостачання та водовідведення з впровадженням енергозберігаючих технологій в м.Лубни на 2020-2032 роки» підписано кредитний договір на суму 1000000 Євро з Північною екологічною фінансовою корпорацією (НЕФКО) від 29.12.2020 р. </w:t>
      </w:r>
      <w:r w:rsidRPr="00F769E7">
        <w:rPr>
          <w:rFonts w:ascii="Times New Roman" w:hAnsi="Times New Roman" w:cs="Times New Roman"/>
          <w:color w:val="000000"/>
          <w:sz w:val="28"/>
          <w:szCs w:val="28"/>
          <w:lang w:val="en-US"/>
        </w:rPr>
        <w:t>NIP</w:t>
      </w:r>
      <w:r w:rsidRPr="00F769E7">
        <w:rPr>
          <w:rFonts w:ascii="Times New Roman" w:hAnsi="Times New Roman" w:cs="Times New Roman"/>
          <w:color w:val="000000"/>
          <w:sz w:val="28"/>
          <w:szCs w:val="28"/>
        </w:rPr>
        <w:t xml:space="preserve"> 2/20, який затверджено Рішенням п’ятої сесїї восьмого скликання Лубенської міської ради Лубенського району Полтавської області від 18.02.2021 р. «Про затвердження кредитного договору </w:t>
      </w:r>
      <w:r w:rsidRPr="00F769E7">
        <w:rPr>
          <w:rFonts w:ascii="Times New Roman" w:hAnsi="Times New Roman" w:cs="Times New Roman"/>
          <w:color w:val="000000"/>
          <w:sz w:val="28"/>
          <w:szCs w:val="28"/>
          <w:lang w:val="en-US"/>
        </w:rPr>
        <w:t>NIP</w:t>
      </w:r>
      <w:r w:rsidRPr="00F769E7">
        <w:rPr>
          <w:rFonts w:ascii="Times New Roman" w:hAnsi="Times New Roman" w:cs="Times New Roman"/>
          <w:color w:val="000000"/>
          <w:sz w:val="28"/>
          <w:szCs w:val="28"/>
        </w:rPr>
        <w:t xml:space="preserve">2/20 від 29.12.2020 р. між Північною екологічною фінансовою корпорацією (НЕФКО) та Лубенською міською радою Лубенського району Полтавської області».  </w:t>
      </w:r>
      <w:proofErr w:type="gramStart"/>
      <w:r w:rsidRPr="00F769E7">
        <w:rPr>
          <w:rFonts w:ascii="Times New Roman" w:hAnsi="Times New Roman" w:cs="Times New Roman"/>
          <w:color w:val="000000"/>
          <w:sz w:val="28"/>
          <w:szCs w:val="28"/>
        </w:rPr>
        <w:t>До бюджету</w:t>
      </w:r>
      <w:proofErr w:type="gramEnd"/>
      <w:r w:rsidRPr="00F769E7">
        <w:rPr>
          <w:rFonts w:ascii="Times New Roman" w:hAnsi="Times New Roman" w:cs="Times New Roman"/>
          <w:color w:val="000000"/>
          <w:sz w:val="28"/>
          <w:szCs w:val="28"/>
        </w:rPr>
        <w:t xml:space="preserve"> Лубенської міської територіальної громади протягом 2021-2022 років буде залучено        1 млн. євро кредитних коштів міжнародної фінансової корпорації НЕФКО на період 8 років, остання дата повернення залучених кредитних коштів -</w:t>
      </w:r>
      <w:r w:rsidR="00365354">
        <w:rPr>
          <w:rFonts w:ascii="Times New Roman" w:hAnsi="Times New Roman" w:cs="Times New Roman"/>
          <w:color w:val="000000"/>
          <w:sz w:val="28"/>
          <w:szCs w:val="28"/>
          <w:lang w:val="uk-UA"/>
        </w:rPr>
        <w:t xml:space="preserve">        </w:t>
      </w:r>
      <w:r w:rsidRPr="00F769E7">
        <w:rPr>
          <w:rFonts w:ascii="Times New Roman" w:hAnsi="Times New Roman" w:cs="Times New Roman"/>
          <w:color w:val="000000"/>
          <w:sz w:val="28"/>
          <w:szCs w:val="28"/>
        </w:rPr>
        <w:t xml:space="preserve"> 11 листопада 2028 року (довгострокове зобов’язання), відсотки за користування кредитними коштами – 3,0 % річних. </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В результаті реалізації енергоефективних заходів очікується економія в споживанні енергоносіїв   водопровідно-каналізаційним господарством.</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Витрати бюджету на 2022 – 2024 роки з погашення та обслуговування</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lastRenderedPageBreak/>
        <w:t>місцевого боргу заплановано відповідно до графіків платежів.</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Спроможність бюджету забезпечити своєчасне погашення місцевого боргу характеризується такими даними: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 співвідношення запланованого обсягу місцевого боргу та середньорічного прогнозного обсягу надходжень бюджету розвитку бюджету Лубенської міської </w:t>
      </w:r>
      <w:proofErr w:type="gramStart"/>
      <w:r w:rsidRPr="00F769E7">
        <w:rPr>
          <w:rFonts w:ascii="Times New Roman" w:hAnsi="Times New Roman" w:cs="Times New Roman"/>
          <w:color w:val="000000"/>
          <w:sz w:val="28"/>
          <w:szCs w:val="28"/>
        </w:rPr>
        <w:t>територіальної  громади</w:t>
      </w:r>
      <w:proofErr w:type="gramEnd"/>
      <w:r w:rsidRPr="00F769E7">
        <w:rPr>
          <w:rFonts w:ascii="Times New Roman" w:hAnsi="Times New Roman" w:cs="Times New Roman"/>
          <w:color w:val="000000"/>
          <w:sz w:val="28"/>
          <w:szCs w:val="28"/>
        </w:rPr>
        <w:t xml:space="preserve">  (з урахуванням коштів, що передаються із загального фонду  бюджету  до  бюджету  розвитку)  відповідає  вимогам  п. 3  ст. 18 Бюджетного кодексу України;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 частка    відсотків    за    обслуговування   </w:t>
      </w:r>
      <w:proofErr w:type="gramStart"/>
      <w:r w:rsidRPr="00F769E7">
        <w:rPr>
          <w:rFonts w:ascii="Times New Roman" w:hAnsi="Times New Roman" w:cs="Times New Roman"/>
          <w:color w:val="000000"/>
          <w:sz w:val="28"/>
          <w:szCs w:val="28"/>
        </w:rPr>
        <w:t>місцевого  боргу</w:t>
      </w:r>
      <w:proofErr w:type="gramEnd"/>
      <w:r w:rsidRPr="00F769E7">
        <w:rPr>
          <w:rFonts w:ascii="Times New Roman" w:hAnsi="Times New Roman" w:cs="Times New Roman"/>
          <w:color w:val="000000"/>
          <w:sz w:val="28"/>
          <w:szCs w:val="28"/>
        </w:rPr>
        <w:t xml:space="preserve">   у  видатках загального фонду бюджету Лубенської  міської територіальної громади (без урахування базової  дотації  та субвенцій,  крім субвенцій,  передбачених пунктами  6-8  частини  першої  статті 97  Бюджетного  кодексу  України) відповідає вимогам статті 74 Бюджетного кодексу України.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Основними завданнями управління місцевим боргом є забезпечення виконання   </w:t>
      </w:r>
      <w:proofErr w:type="gramStart"/>
      <w:r w:rsidRPr="00F769E7">
        <w:rPr>
          <w:rFonts w:ascii="Times New Roman" w:hAnsi="Times New Roman" w:cs="Times New Roman"/>
          <w:color w:val="000000"/>
          <w:sz w:val="28"/>
          <w:szCs w:val="28"/>
        </w:rPr>
        <w:t>запланованих  податкових</w:t>
      </w:r>
      <w:proofErr w:type="gramEnd"/>
      <w:r w:rsidRPr="00F769E7">
        <w:rPr>
          <w:rFonts w:ascii="Times New Roman" w:hAnsi="Times New Roman" w:cs="Times New Roman"/>
          <w:color w:val="000000"/>
          <w:sz w:val="28"/>
          <w:szCs w:val="28"/>
        </w:rPr>
        <w:t xml:space="preserve">   та  неподаткових   надходжень   до загального фонду та бюджету розвитку спеціального фонду бюджету громади, виконання   платежів  за  місцевим  боргом  відповідно  до умов   кредитного договору,  недопущення заборгованості  в  процесі  обслуговування   боргу.</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Показники місцевого боргу поділяються на внутрішній борг - непогашена середьострокова позичка з єдиного казначейського рахунку та зовнішній борг – довгостроковий кредит НЕФКО (додаток 4).</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Надання місцевих  гарантій Лубенською міською радою  не прогнозується (додаток 5).</w:t>
      </w:r>
    </w:p>
    <w:p w:rsidR="00F769E7" w:rsidRPr="00F769E7" w:rsidRDefault="00F769E7" w:rsidP="00F769E7">
      <w:pPr>
        <w:jc w:val="both"/>
        <w:rPr>
          <w:rFonts w:ascii="Times New Roman" w:hAnsi="Times New Roman" w:cs="Times New Roman"/>
          <w:sz w:val="28"/>
          <w:szCs w:val="28"/>
        </w:rPr>
      </w:pPr>
    </w:p>
    <w:p w:rsidR="00F769E7" w:rsidRPr="00F769E7" w:rsidRDefault="00F769E7" w:rsidP="00F769E7">
      <w:pPr>
        <w:autoSpaceDE w:val="0"/>
        <w:autoSpaceDN w:val="0"/>
        <w:adjustRightInd w:val="0"/>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VІ. Показники видатків бюджету та надання кредитів з бюджету</w:t>
      </w:r>
    </w:p>
    <w:p w:rsidR="00F769E7" w:rsidRPr="00F769E7" w:rsidRDefault="00F769E7" w:rsidP="002E0952">
      <w:pPr>
        <w:autoSpaceDE w:val="0"/>
        <w:autoSpaceDN w:val="0"/>
        <w:adjustRightInd w:val="0"/>
        <w:spacing w:after="0" w:line="240" w:lineRule="auto"/>
        <w:jc w:val="both"/>
        <w:rPr>
          <w:rFonts w:ascii="Times New Roman" w:hAnsi="Times New Roman" w:cs="Times New Roman"/>
          <w:color w:val="000000"/>
          <w:sz w:val="28"/>
          <w:szCs w:val="28"/>
        </w:rPr>
      </w:pPr>
      <w:r w:rsidRPr="00F769E7">
        <w:rPr>
          <w:rFonts w:ascii="Times New Roman" w:hAnsi="Times New Roman" w:cs="Times New Roman"/>
          <w:b/>
          <w:bCs/>
          <w:color w:val="000000"/>
          <w:sz w:val="28"/>
          <w:szCs w:val="28"/>
        </w:rPr>
        <w:t xml:space="preserve">              </w:t>
      </w:r>
      <w:r w:rsidRPr="00F769E7">
        <w:rPr>
          <w:rFonts w:ascii="Times New Roman" w:hAnsi="Times New Roman" w:cs="Times New Roman"/>
          <w:color w:val="000000"/>
          <w:sz w:val="28"/>
          <w:szCs w:val="28"/>
        </w:rPr>
        <w:t xml:space="preserve"> Під час формування видаткової частини бюджету Лубенської міської територіальної громади у середньостроковому періоді основним прагненням є досягнення цілей державної політики в межах ресурсних можливостей бюджету територіальної громади, спрямовування коштів на заходи відповідно до їх пріоритетності та актуальності, а також з урахуванням економного використання коштів за діючими бюджетними програмами. Прогнозні показники видатків та кредитування бюджету Лубенської міської територіальної громади на 2022 – 2023 роки відображені </w:t>
      </w:r>
      <w:r w:rsidRPr="00F769E7">
        <w:rPr>
          <w:rFonts w:ascii="Times New Roman" w:hAnsi="Times New Roman" w:cs="Times New Roman"/>
          <w:color w:val="000000"/>
          <w:sz w:val="28"/>
          <w:szCs w:val="28"/>
        </w:rPr>
        <w:lastRenderedPageBreak/>
        <w:t>на підставі поданих головними розпорядниками коштів пропозицій до Прогнозу, а саме:</w:t>
      </w:r>
    </w:p>
    <w:p w:rsidR="00F769E7" w:rsidRPr="00F769E7" w:rsidRDefault="00F769E7" w:rsidP="002E0952">
      <w:pPr>
        <w:autoSpaceDE w:val="0"/>
        <w:autoSpaceDN w:val="0"/>
        <w:adjustRightInd w:val="0"/>
        <w:spacing w:after="0" w:line="240" w:lineRule="auto"/>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 граничні показники видатків бюджету та надання кредитів з бюджету головним розпорядникам коштів – додаток 6;</w:t>
      </w:r>
    </w:p>
    <w:p w:rsidR="00F769E7" w:rsidRPr="00F769E7" w:rsidRDefault="00F769E7" w:rsidP="002E0952">
      <w:pPr>
        <w:autoSpaceDE w:val="0"/>
        <w:autoSpaceDN w:val="0"/>
        <w:adjustRightInd w:val="0"/>
        <w:spacing w:after="0" w:line="240" w:lineRule="auto"/>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 граничні показники видатків бюджету за Типовою програмною класифікацією видатків та кредитування місцевого бюджету – додаток 7.</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В процесі формування видаткової частини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2022-2024 роки відповідно до Бюджетної декларації, прийнятої Верховною Радою України 15 липня 2021 року:</w:t>
      </w:r>
    </w:p>
    <w:p w:rsidR="00F769E7" w:rsidRPr="00F769E7" w:rsidRDefault="00F769E7" w:rsidP="00F769E7">
      <w:pPr>
        <w:autoSpaceDE w:val="0"/>
        <w:autoSpaceDN w:val="0"/>
        <w:adjustRightInd w:val="0"/>
        <w:jc w:val="both"/>
        <w:rPr>
          <w:rFonts w:ascii="Times New Roman" w:hAnsi="Times New Roman" w:cs="Times New Roman"/>
          <w:color w:val="000000"/>
          <w:sz w:val="24"/>
          <w:szCs w:val="24"/>
        </w:rPr>
      </w:pPr>
      <w:r w:rsidRPr="00F769E7">
        <w:rPr>
          <w:rFonts w:ascii="Times New Roman" w:hAnsi="Times New Roman" w:cs="Times New Roman"/>
          <w:color w:val="000000"/>
          <w:sz w:val="24"/>
          <w:szCs w:val="24"/>
        </w:rPr>
        <w:t xml:space="preserve">                      М</w:t>
      </w:r>
      <w:r>
        <w:rPr>
          <w:rFonts w:ascii="Times New Roman" w:hAnsi="Times New Roman" w:cs="Times New Roman"/>
          <w:color w:val="000000"/>
          <w:sz w:val="24"/>
          <w:szCs w:val="24"/>
        </w:rPr>
        <w:t>інімальна заробітна плата</w:t>
      </w:r>
      <w:r>
        <w:rPr>
          <w:rFonts w:ascii="Times New Roman" w:hAnsi="Times New Roman" w:cs="Times New Roman"/>
          <w:color w:val="000000"/>
          <w:sz w:val="24"/>
          <w:szCs w:val="24"/>
          <w:lang w:val="uk-UA"/>
        </w:rPr>
        <w:t>,</w:t>
      </w:r>
      <w:r>
        <w:rPr>
          <w:rFonts w:ascii="Times New Roman" w:hAnsi="Times New Roman" w:cs="Times New Roman"/>
          <w:color w:val="000000"/>
          <w:sz w:val="24"/>
          <w:szCs w:val="24"/>
        </w:rPr>
        <w:t xml:space="preserve"> </w:t>
      </w:r>
      <w:r w:rsidRPr="00F769E7">
        <w:rPr>
          <w:rFonts w:ascii="Times New Roman" w:hAnsi="Times New Roman" w:cs="Times New Roman"/>
          <w:color w:val="000000"/>
          <w:sz w:val="24"/>
          <w:szCs w:val="24"/>
        </w:rPr>
        <w:t xml:space="preserve"> Посадовий оклад працівника     Темпи приросту,</w:t>
      </w:r>
    </w:p>
    <w:p w:rsidR="00F769E7" w:rsidRPr="00F769E7" w:rsidRDefault="00F769E7" w:rsidP="00F769E7">
      <w:pPr>
        <w:autoSpaceDE w:val="0"/>
        <w:autoSpaceDN w:val="0"/>
        <w:adjustRightInd w:val="0"/>
        <w:jc w:val="both"/>
        <w:rPr>
          <w:rFonts w:ascii="Times New Roman" w:hAnsi="Times New Roman" w:cs="Times New Roman"/>
          <w:color w:val="000000"/>
          <w:sz w:val="24"/>
          <w:szCs w:val="24"/>
        </w:rPr>
      </w:pPr>
      <w:r w:rsidRPr="00F769E7">
        <w:rPr>
          <w:rFonts w:ascii="Times New Roman" w:hAnsi="Times New Roman" w:cs="Times New Roman"/>
          <w:color w:val="000000"/>
          <w:sz w:val="24"/>
          <w:szCs w:val="24"/>
        </w:rPr>
        <w:t xml:space="preserve">                                              грн.                       І тарифного розряду ЄТС                     %</w:t>
      </w:r>
    </w:p>
    <w:p w:rsidR="00F769E7" w:rsidRPr="00F769E7" w:rsidRDefault="00F769E7" w:rsidP="00F769E7">
      <w:pPr>
        <w:autoSpaceDE w:val="0"/>
        <w:autoSpaceDN w:val="0"/>
        <w:adjustRightInd w:val="0"/>
        <w:jc w:val="both"/>
        <w:rPr>
          <w:rFonts w:ascii="Times New Roman" w:hAnsi="Times New Roman" w:cs="Times New Roman"/>
          <w:color w:val="000000"/>
          <w:sz w:val="24"/>
          <w:szCs w:val="24"/>
        </w:rPr>
      </w:pPr>
      <w:r w:rsidRPr="00F769E7">
        <w:rPr>
          <w:rFonts w:ascii="Times New Roman" w:hAnsi="Times New Roman" w:cs="Times New Roman"/>
          <w:color w:val="000000"/>
          <w:sz w:val="24"/>
          <w:szCs w:val="24"/>
        </w:rPr>
        <w:t xml:space="preserve">                                                                                           грн                         </w:t>
      </w:r>
    </w:p>
    <w:p w:rsidR="00F769E7" w:rsidRPr="00F769E7" w:rsidRDefault="00F769E7" w:rsidP="00F769E7">
      <w:pPr>
        <w:autoSpaceDE w:val="0"/>
        <w:autoSpaceDN w:val="0"/>
        <w:adjustRightInd w:val="0"/>
        <w:jc w:val="both"/>
        <w:rPr>
          <w:rFonts w:ascii="Times New Roman" w:hAnsi="Times New Roman" w:cs="Times New Roman"/>
          <w:color w:val="000000"/>
          <w:sz w:val="24"/>
          <w:szCs w:val="24"/>
        </w:rPr>
      </w:pPr>
      <w:r w:rsidRPr="00F769E7">
        <w:rPr>
          <w:rFonts w:ascii="Times New Roman" w:hAnsi="Times New Roman" w:cs="Times New Roman"/>
          <w:color w:val="000000"/>
          <w:sz w:val="24"/>
          <w:szCs w:val="24"/>
        </w:rPr>
        <w:t xml:space="preserve">з 01.01. 2022 року               6 500                                    2 893                 </w:t>
      </w:r>
    </w:p>
    <w:p w:rsidR="00F769E7" w:rsidRPr="00F769E7" w:rsidRDefault="00F769E7" w:rsidP="00F769E7">
      <w:pPr>
        <w:autoSpaceDE w:val="0"/>
        <w:autoSpaceDN w:val="0"/>
        <w:adjustRightInd w:val="0"/>
        <w:jc w:val="both"/>
        <w:rPr>
          <w:rFonts w:ascii="Times New Roman" w:hAnsi="Times New Roman" w:cs="Times New Roman"/>
          <w:color w:val="000000"/>
          <w:sz w:val="24"/>
          <w:szCs w:val="24"/>
        </w:rPr>
      </w:pPr>
      <w:r w:rsidRPr="00F769E7">
        <w:rPr>
          <w:rFonts w:ascii="Times New Roman" w:hAnsi="Times New Roman" w:cs="Times New Roman"/>
          <w:color w:val="000000"/>
          <w:sz w:val="24"/>
          <w:szCs w:val="24"/>
        </w:rPr>
        <w:t>з 01.10. 2022 року               6 700                                    2 982                                         3,1</w:t>
      </w:r>
    </w:p>
    <w:p w:rsidR="00F769E7" w:rsidRPr="00F769E7" w:rsidRDefault="00F769E7" w:rsidP="00F769E7">
      <w:pPr>
        <w:autoSpaceDE w:val="0"/>
        <w:autoSpaceDN w:val="0"/>
        <w:adjustRightInd w:val="0"/>
        <w:jc w:val="both"/>
        <w:rPr>
          <w:rFonts w:ascii="Times New Roman" w:hAnsi="Times New Roman" w:cs="Times New Roman"/>
          <w:color w:val="000000"/>
          <w:sz w:val="24"/>
          <w:szCs w:val="24"/>
        </w:rPr>
      </w:pPr>
      <w:r w:rsidRPr="00F769E7">
        <w:rPr>
          <w:rFonts w:ascii="Times New Roman" w:hAnsi="Times New Roman" w:cs="Times New Roman"/>
          <w:color w:val="000000"/>
          <w:sz w:val="24"/>
          <w:szCs w:val="24"/>
        </w:rPr>
        <w:t>з 01.01. 2023 року               7 176                                    3 193                                         7,1</w:t>
      </w:r>
    </w:p>
    <w:p w:rsidR="00F769E7" w:rsidRPr="00F769E7" w:rsidRDefault="00F769E7" w:rsidP="00F769E7">
      <w:pPr>
        <w:autoSpaceDE w:val="0"/>
        <w:autoSpaceDN w:val="0"/>
        <w:adjustRightInd w:val="0"/>
        <w:jc w:val="both"/>
        <w:rPr>
          <w:rFonts w:ascii="Times New Roman" w:hAnsi="Times New Roman" w:cs="Times New Roman"/>
          <w:color w:val="000000"/>
          <w:sz w:val="24"/>
          <w:szCs w:val="24"/>
        </w:rPr>
      </w:pPr>
      <w:r w:rsidRPr="00F769E7">
        <w:rPr>
          <w:rFonts w:ascii="Times New Roman" w:hAnsi="Times New Roman" w:cs="Times New Roman"/>
          <w:color w:val="000000"/>
          <w:sz w:val="24"/>
          <w:szCs w:val="24"/>
        </w:rPr>
        <w:t>з 01.01. 2024 року               7 665                                    3 411                                         6,8</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В першу чергу при формуванні видаткової  частини  прогнозу  бюджету враховано вимоги статті 77 Бюджетного кодексу України   щодо  забезпечення першочергової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некомерційними підприємствами  охорони здоров’я.</w:t>
      </w:r>
    </w:p>
    <w:p w:rsidR="00F769E7" w:rsidRDefault="00F769E7" w:rsidP="00F769E7">
      <w:pPr>
        <w:autoSpaceDE w:val="0"/>
        <w:autoSpaceDN w:val="0"/>
        <w:adjustRightInd w:val="0"/>
        <w:jc w:val="both"/>
        <w:rPr>
          <w:rFonts w:ascii="Times New Roman" w:hAnsi="Times New Roman" w:cs="Times New Roman"/>
          <w:color w:val="000000"/>
          <w:sz w:val="28"/>
          <w:szCs w:val="28"/>
          <w:lang w:val="uk-UA"/>
        </w:rPr>
      </w:pPr>
      <w:r w:rsidRPr="00F769E7">
        <w:rPr>
          <w:rFonts w:ascii="Times New Roman" w:hAnsi="Times New Roman" w:cs="Times New Roman"/>
          <w:color w:val="000000"/>
          <w:sz w:val="28"/>
          <w:szCs w:val="28"/>
        </w:rPr>
        <w:t xml:space="preserve">          Враховані також обсяги </w:t>
      </w:r>
      <w:proofErr w:type="gramStart"/>
      <w:r w:rsidRPr="00F769E7">
        <w:rPr>
          <w:rFonts w:ascii="Times New Roman" w:hAnsi="Times New Roman" w:cs="Times New Roman"/>
          <w:color w:val="000000"/>
          <w:sz w:val="28"/>
          <w:szCs w:val="28"/>
        </w:rPr>
        <w:t>видатків,  необхідні</w:t>
      </w:r>
      <w:proofErr w:type="gramEnd"/>
      <w:r w:rsidRPr="00F769E7">
        <w:rPr>
          <w:rFonts w:ascii="Times New Roman" w:hAnsi="Times New Roman" w:cs="Times New Roman"/>
          <w:color w:val="000000"/>
          <w:sz w:val="28"/>
          <w:szCs w:val="28"/>
        </w:rPr>
        <w:t xml:space="preserve">  для забезпечення стабільної роботи   установ  та  закладів соціально – культурної сфери, надання соціальних  гарантій для малозахищених категорій громадян, підтримки в належному стані об’єктів житлово – комунального господарства, інших    об’єктів    інфраструктури громади,   впровадження    заходів     з енергозбереження    (енергоефективності),  виконання в межах фінансових можливостей  місцевих  цільових  (комплексних)  програм.</w:t>
      </w:r>
    </w:p>
    <w:p w:rsidR="00F769E7" w:rsidRPr="00F769E7" w:rsidRDefault="00F769E7" w:rsidP="00F769E7">
      <w:pPr>
        <w:autoSpaceDE w:val="0"/>
        <w:autoSpaceDN w:val="0"/>
        <w:adjustRightInd w:val="0"/>
        <w:jc w:val="both"/>
        <w:rPr>
          <w:rFonts w:ascii="Times New Roman" w:hAnsi="Times New Roman" w:cs="Times New Roman"/>
          <w:color w:val="000000"/>
          <w:sz w:val="28"/>
          <w:szCs w:val="28"/>
          <w:lang w:val="uk-UA"/>
        </w:rPr>
      </w:pP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noProof/>
          <w:color w:val="000000"/>
          <w:sz w:val="28"/>
          <w:szCs w:val="28"/>
          <w:lang w:val="en-US"/>
        </w:rPr>
        <w:lastRenderedPageBreak/>
        <w:drawing>
          <wp:inline distT="0" distB="0" distL="0" distR="0">
            <wp:extent cx="5940425" cy="4151982"/>
            <wp:effectExtent l="19050" t="0" r="3175" b="0"/>
            <wp:docPr id="2"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Pr="00F769E7">
        <w:rPr>
          <w:rFonts w:ascii="Times New Roman" w:hAnsi="Times New Roman" w:cs="Times New Roman"/>
          <w:noProof/>
          <w:color w:val="000000"/>
          <w:sz w:val="28"/>
          <w:szCs w:val="28"/>
          <w:lang w:val="en-US"/>
        </w:rPr>
        <w:drawing>
          <wp:inline distT="0" distB="0" distL="0" distR="0">
            <wp:extent cx="5940425" cy="4266021"/>
            <wp:effectExtent l="57150" t="19050" r="22225" b="0"/>
            <wp:docPr id="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Pr="00F769E7">
        <w:rPr>
          <w:rFonts w:ascii="Times New Roman" w:hAnsi="Times New Roman" w:cs="Times New Roman"/>
          <w:noProof/>
          <w:color w:val="000000"/>
          <w:sz w:val="28"/>
          <w:szCs w:val="28"/>
          <w:lang w:val="en-US"/>
        </w:rPr>
        <w:lastRenderedPageBreak/>
        <w:drawing>
          <wp:inline distT="0" distB="0" distL="0" distR="0">
            <wp:extent cx="5940425" cy="4483675"/>
            <wp:effectExtent l="19050" t="0" r="3175" b="0"/>
            <wp:docPr id="6"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769E7" w:rsidRPr="00F769E7" w:rsidRDefault="00F769E7" w:rsidP="00F769E7">
      <w:pPr>
        <w:autoSpaceDE w:val="0"/>
        <w:autoSpaceDN w:val="0"/>
        <w:adjustRightInd w:val="0"/>
        <w:rPr>
          <w:rFonts w:ascii="Times New Roman" w:hAnsi="Times New Roman" w:cs="Times New Roman"/>
          <w:color w:val="000000"/>
          <w:sz w:val="28"/>
          <w:szCs w:val="28"/>
        </w:rPr>
      </w:pPr>
    </w:p>
    <w:p w:rsidR="00F769E7" w:rsidRPr="00F769E7" w:rsidRDefault="00F769E7" w:rsidP="002E0952">
      <w:pPr>
        <w:autoSpaceDE w:val="0"/>
        <w:autoSpaceDN w:val="0"/>
        <w:adjustRightInd w:val="0"/>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Освіта</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w:t>
      </w:r>
      <w:proofErr w:type="gramStart"/>
      <w:r w:rsidRPr="00F769E7">
        <w:rPr>
          <w:rFonts w:ascii="Times New Roman" w:hAnsi="Times New Roman" w:cs="Times New Roman"/>
          <w:color w:val="000000"/>
          <w:sz w:val="28"/>
          <w:szCs w:val="28"/>
        </w:rPr>
        <w:t>Цілі  державної</w:t>
      </w:r>
      <w:proofErr w:type="gramEnd"/>
      <w:r w:rsidRPr="00F769E7">
        <w:rPr>
          <w:rFonts w:ascii="Times New Roman" w:hAnsi="Times New Roman" w:cs="Times New Roman"/>
          <w:color w:val="000000"/>
          <w:sz w:val="28"/>
          <w:szCs w:val="28"/>
        </w:rPr>
        <w:t xml:space="preserve"> політики   у   сфері   </w:t>
      </w:r>
      <w:r w:rsidRPr="00F769E7">
        <w:rPr>
          <w:rFonts w:ascii="Times New Roman" w:hAnsi="Times New Roman" w:cs="Times New Roman"/>
          <w:bCs/>
          <w:color w:val="000000"/>
          <w:sz w:val="28"/>
          <w:szCs w:val="28"/>
        </w:rPr>
        <w:t>освіти</w:t>
      </w:r>
      <w:r w:rsidRPr="00F769E7">
        <w:rPr>
          <w:rFonts w:ascii="Times New Roman" w:hAnsi="Times New Roman" w:cs="Times New Roman"/>
          <w:b/>
          <w:bCs/>
          <w:color w:val="000000"/>
          <w:sz w:val="28"/>
          <w:szCs w:val="28"/>
        </w:rPr>
        <w:t xml:space="preserve">   </w:t>
      </w:r>
      <w:r w:rsidRPr="00F769E7">
        <w:rPr>
          <w:rFonts w:ascii="Times New Roman" w:hAnsi="Times New Roman" w:cs="Times New Roman"/>
          <w:color w:val="000000"/>
          <w:sz w:val="28"/>
          <w:szCs w:val="28"/>
        </w:rPr>
        <w:t>реалізуються  головними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розпорядниками бюджетних </w:t>
      </w:r>
      <w:proofErr w:type="gramStart"/>
      <w:r w:rsidRPr="00F769E7">
        <w:rPr>
          <w:rFonts w:ascii="Times New Roman" w:hAnsi="Times New Roman" w:cs="Times New Roman"/>
          <w:color w:val="000000"/>
          <w:sz w:val="28"/>
          <w:szCs w:val="28"/>
        </w:rPr>
        <w:t>коштів  -</w:t>
      </w:r>
      <w:proofErr w:type="gramEnd"/>
      <w:r w:rsidRPr="00F769E7">
        <w:rPr>
          <w:rFonts w:ascii="Times New Roman" w:hAnsi="Times New Roman" w:cs="Times New Roman"/>
          <w:color w:val="000000"/>
          <w:sz w:val="28"/>
          <w:szCs w:val="28"/>
        </w:rPr>
        <w:t xml:space="preserve">  управлінням освіти та управлінням культури і мистецтв,  (додаток 6) та у середньостроковій перспективі будуть направлені на: </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повноцінний розвиток кожної дитини, її успішну інтеграцію в українське суспільство та європейську інтеграцію;</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w:t>
      </w:r>
      <w:proofErr w:type="gramStart"/>
      <w:r w:rsidRPr="00F769E7">
        <w:rPr>
          <w:rFonts w:ascii="Times New Roman" w:hAnsi="Times New Roman" w:cs="Times New Roman"/>
          <w:color w:val="000000"/>
          <w:sz w:val="28"/>
          <w:szCs w:val="28"/>
        </w:rPr>
        <w:t>забезпечення  діяльності</w:t>
      </w:r>
      <w:proofErr w:type="gramEnd"/>
      <w:r w:rsidRPr="00F769E7">
        <w:rPr>
          <w:rFonts w:ascii="Times New Roman" w:hAnsi="Times New Roman" w:cs="Times New Roman"/>
          <w:color w:val="000000"/>
          <w:sz w:val="28"/>
          <w:szCs w:val="28"/>
        </w:rPr>
        <w:t xml:space="preserve">  мережі  дошкільних  навчальних  закладів  різних</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типів,  створення  умов для їх функціонування, зміцнення матеріально-технічної бази дошкільних навчальних закладів, урізноманітнення моделей організації дошкільної освіти, охоплення дітей обов’язковою дошкільною освітою;</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здійснення заходів для забезпечення якісної, сучасної, конкурентоспроможної та доступної освіти;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lastRenderedPageBreak/>
        <w:t xml:space="preserve">-  </w:t>
      </w:r>
      <w:proofErr w:type="gramStart"/>
      <w:r w:rsidRPr="00F769E7">
        <w:rPr>
          <w:rFonts w:ascii="Times New Roman" w:hAnsi="Times New Roman" w:cs="Times New Roman"/>
          <w:color w:val="000000"/>
          <w:sz w:val="28"/>
          <w:szCs w:val="28"/>
        </w:rPr>
        <w:t>забезпечення  в</w:t>
      </w:r>
      <w:proofErr w:type="gramEnd"/>
      <w:r w:rsidRPr="00F769E7">
        <w:rPr>
          <w:rFonts w:ascii="Times New Roman" w:hAnsi="Times New Roman" w:cs="Times New Roman"/>
          <w:color w:val="000000"/>
          <w:sz w:val="28"/>
          <w:szCs w:val="28"/>
        </w:rPr>
        <w:t xml:space="preserve">  рамках  продовження  реформи  загальної  середньої  освіти «Нова українська школа»  якісної  та  доступної  освіти  шляхом  стимулювання вчителів  до  професійного розвитку, розбудови нового освітнього середовища;</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забезпечення  закладів   загальної  середньої  освіти   сучасним  навчальним</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обладнанням та оновлення матеріально-технічної бази;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розбудова безпечної та інклюзивної системи освіти за допомогою наближення освітніх послуг учням з особливими освітніми потребами максимально до місця їх проживання, врахування індивідуальних потреб і можливостей таких здобувачів освіти;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забезпечення функціонування ефективної та територіально доступної мережі інклюзивно-ресурсного центру;</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забезпечення доступності мистецької і позашкільної освіти та інтегрування її в європейський простір;</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запровадження національної системи оцінювання якості освіти.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Основні результати, яких планується досягти: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створення нового освітнього середовища, яке відповідає вимогам сьогодення;</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забезпечення доступної дошкільної, загальної середньої та позашкільної освіти з урахуванням демографічних та економічних реалій;</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сприяння   </w:t>
      </w:r>
      <w:proofErr w:type="gramStart"/>
      <w:r w:rsidRPr="00F769E7">
        <w:rPr>
          <w:rFonts w:ascii="Times New Roman" w:hAnsi="Times New Roman" w:cs="Times New Roman"/>
          <w:color w:val="000000"/>
          <w:sz w:val="28"/>
          <w:szCs w:val="28"/>
        </w:rPr>
        <w:t>підвищенню  мотивації</w:t>
      </w:r>
      <w:proofErr w:type="gramEnd"/>
      <w:r w:rsidRPr="00F769E7">
        <w:rPr>
          <w:rFonts w:ascii="Times New Roman" w:hAnsi="Times New Roman" w:cs="Times New Roman"/>
          <w:color w:val="000000"/>
          <w:sz w:val="28"/>
          <w:szCs w:val="28"/>
        </w:rPr>
        <w:t xml:space="preserve">   учнів  до   навчання,  а  вчителів   –   до професійного розвитку;</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надання    освітніх  послуг  учням  з  особливими  освітніми  потребами максимально  наближено  до  місця  проживання  та  з   урахуванням  їх індивідуальних потреб і можливостей.</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Реалізація освітніх послуг буде здійснюватися через існуючу мережу</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освітніх   закладів,  яка  включає  24  заклади  дошкільної освіти,    21  заклад загальної  середньої освіти, 2 установи  позашкільної   освіти  та  2 школи естетичного виховання.</w:t>
      </w:r>
    </w:p>
    <w:p w:rsidR="00F769E7" w:rsidRPr="00F769E7" w:rsidRDefault="00F769E7" w:rsidP="00F769E7">
      <w:pPr>
        <w:autoSpaceDE w:val="0"/>
        <w:autoSpaceDN w:val="0"/>
        <w:adjustRightInd w:val="0"/>
        <w:rPr>
          <w:rFonts w:ascii="Times New Roman" w:hAnsi="Times New Roman" w:cs="Times New Roman"/>
          <w:color w:val="000000"/>
          <w:sz w:val="28"/>
          <w:szCs w:val="28"/>
        </w:rPr>
      </w:pPr>
    </w:p>
    <w:p w:rsidR="00F769E7" w:rsidRPr="00F769E7" w:rsidRDefault="00F769E7" w:rsidP="00F769E7">
      <w:pPr>
        <w:autoSpaceDE w:val="0"/>
        <w:autoSpaceDN w:val="0"/>
        <w:adjustRightInd w:val="0"/>
        <w:rPr>
          <w:rFonts w:ascii="Times New Roman" w:hAnsi="Times New Roman" w:cs="Times New Roman"/>
          <w:color w:val="000000"/>
          <w:sz w:val="28"/>
          <w:szCs w:val="28"/>
        </w:rPr>
      </w:pPr>
    </w:p>
    <w:p w:rsidR="00F769E7" w:rsidRPr="00F769E7" w:rsidRDefault="00F769E7" w:rsidP="00F769E7">
      <w:pPr>
        <w:autoSpaceDE w:val="0"/>
        <w:autoSpaceDN w:val="0"/>
        <w:adjustRightInd w:val="0"/>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lastRenderedPageBreak/>
        <w:t>Охорона здоров’я</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Цілі державної політики у сфері </w:t>
      </w:r>
      <w:r w:rsidRPr="00F769E7">
        <w:rPr>
          <w:rFonts w:ascii="Times New Roman" w:hAnsi="Times New Roman" w:cs="Times New Roman"/>
          <w:bCs/>
          <w:color w:val="000000"/>
          <w:sz w:val="28"/>
          <w:szCs w:val="28"/>
        </w:rPr>
        <w:t>охорони здоров’я</w:t>
      </w:r>
      <w:r w:rsidRPr="00F769E7">
        <w:rPr>
          <w:rFonts w:ascii="Times New Roman" w:hAnsi="Times New Roman" w:cs="Times New Roman"/>
          <w:b/>
          <w:bCs/>
          <w:color w:val="000000"/>
          <w:sz w:val="28"/>
          <w:szCs w:val="28"/>
        </w:rPr>
        <w:t xml:space="preserve"> </w:t>
      </w:r>
      <w:r w:rsidRPr="00F769E7">
        <w:rPr>
          <w:rFonts w:ascii="Times New Roman" w:hAnsi="Times New Roman" w:cs="Times New Roman"/>
          <w:color w:val="000000"/>
          <w:sz w:val="28"/>
          <w:szCs w:val="28"/>
        </w:rPr>
        <w:t>направлені на перехід</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від   </w:t>
      </w:r>
      <w:proofErr w:type="gramStart"/>
      <w:r w:rsidRPr="00F769E7">
        <w:rPr>
          <w:rFonts w:ascii="Times New Roman" w:hAnsi="Times New Roman" w:cs="Times New Roman"/>
          <w:color w:val="000000"/>
          <w:sz w:val="28"/>
          <w:szCs w:val="28"/>
        </w:rPr>
        <w:t>утримання  мережі</w:t>
      </w:r>
      <w:proofErr w:type="gramEnd"/>
      <w:r w:rsidRPr="00F769E7">
        <w:rPr>
          <w:rFonts w:ascii="Times New Roman" w:hAnsi="Times New Roman" w:cs="Times New Roman"/>
          <w:color w:val="000000"/>
          <w:sz w:val="28"/>
          <w:szCs w:val="28"/>
        </w:rPr>
        <w:t xml:space="preserve">  комунальних  закладів  охорони  здоров’я  (ліжок та персоналу)  до   оплати  реальних  результатів  діяльності  цих  закладів – фактично наданих  пацієнтам  медичних  послуг  та  на  місцевому  рівні   здійснюються  головним розпорядником бюджетних коштів – управлінням охорони здоров’я виконавчого комітету Лубенської  міської ради Лубенського району (додаток 6).</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Граничний обсяг видатків головним розпорядником бюджетних коштів направлено на реалізацію наступних бюджетних програм:</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КПКВ 2010 «Багатопрофільна стаціонарна медична допомога населенню» – реалізує Лубенська ЛІЛ;</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КПКВ 2100 «Стоматологічна допомога населенню», де кошти направляються Лубенській  стоматологічній поліклініці;</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КПКВ 2111 «Первинна медична допомога </w:t>
      </w:r>
      <w:proofErr w:type="gramStart"/>
      <w:r w:rsidRPr="00F769E7">
        <w:rPr>
          <w:rFonts w:ascii="Times New Roman" w:hAnsi="Times New Roman" w:cs="Times New Roman"/>
          <w:color w:val="000000"/>
          <w:sz w:val="28"/>
          <w:szCs w:val="28"/>
        </w:rPr>
        <w:t xml:space="preserve">населенню»   </w:t>
      </w:r>
      <w:proofErr w:type="gramEnd"/>
      <w:r w:rsidRPr="00F769E7">
        <w:rPr>
          <w:rFonts w:ascii="Times New Roman" w:hAnsi="Times New Roman" w:cs="Times New Roman"/>
          <w:color w:val="000000"/>
          <w:sz w:val="28"/>
          <w:szCs w:val="28"/>
        </w:rPr>
        <w:t xml:space="preserve"> –      реалізують 2 центри первинної медико-санітарної допомоги та амбулаторії загальної практики сімейної медицини.</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Основні результати, яких планується досягти:</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підвищення рівня медичного обслуговування населення;</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запровадження нових підходів до організації роботи закладів охорони здоров’я та їх фінансового забезпечення;</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подальший розвиток системи медичного обслуговування населення та реформування системи охорони здоров’я;</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w:t>
      </w:r>
      <w:r w:rsidRPr="00F769E7">
        <w:rPr>
          <w:rFonts w:ascii="Times New Roman" w:hAnsi="Times New Roman" w:cs="Times New Roman"/>
          <w:sz w:val="28"/>
          <w:szCs w:val="28"/>
          <w:shd w:val="clear" w:color="auto" w:fill="FFFFFF"/>
        </w:rPr>
        <w:t>фінансування медичних послуг, які не забезпечуються державою (забезпечення безоплатним та пільговим відпуском лікарських засобів за рецептами лікарів відповідно до постанови Кабінету Міністрів України від 17.08.1998 № 1303 (зі змінами), для забезпечення хворих дітей на рідкісні (орфанні) захворювання (фенілкетанурію, муковісцидоз) відповідними харчовими продуктами, забезпечення інвалідів засобами догляду за стомою, підгузками та іншими технічними засобами, пільгове зубопротезування, відповідно до вимог чинного законодавства).</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зниження </w:t>
      </w:r>
      <w:proofErr w:type="gramStart"/>
      <w:r w:rsidRPr="00F769E7">
        <w:rPr>
          <w:rFonts w:ascii="Times New Roman" w:hAnsi="Times New Roman" w:cs="Times New Roman"/>
          <w:color w:val="000000"/>
          <w:sz w:val="28"/>
          <w:szCs w:val="28"/>
        </w:rPr>
        <w:t>рівня  загальної</w:t>
      </w:r>
      <w:proofErr w:type="gramEnd"/>
      <w:r w:rsidRPr="00F769E7">
        <w:rPr>
          <w:rFonts w:ascii="Times New Roman" w:hAnsi="Times New Roman" w:cs="Times New Roman"/>
          <w:color w:val="000000"/>
          <w:sz w:val="28"/>
          <w:szCs w:val="28"/>
        </w:rPr>
        <w:t xml:space="preserve"> захворюваності населення.</w:t>
      </w:r>
    </w:p>
    <w:p w:rsidR="00F769E7" w:rsidRPr="00F769E7" w:rsidRDefault="00F769E7" w:rsidP="00F769E7">
      <w:pPr>
        <w:rPr>
          <w:rFonts w:ascii="Times New Roman" w:hAnsi="Times New Roman" w:cs="Times New Roman"/>
          <w:sz w:val="28"/>
          <w:szCs w:val="28"/>
        </w:rPr>
      </w:pPr>
    </w:p>
    <w:p w:rsidR="00F769E7" w:rsidRPr="00F769E7" w:rsidRDefault="00F769E7" w:rsidP="00F769E7">
      <w:pPr>
        <w:autoSpaceDE w:val="0"/>
        <w:autoSpaceDN w:val="0"/>
        <w:adjustRightInd w:val="0"/>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Соціальний захист та соціальне забезпечення</w:t>
      </w:r>
    </w:p>
    <w:p w:rsidR="00F769E7" w:rsidRPr="00F769E7" w:rsidRDefault="00F769E7" w:rsidP="00F769E7">
      <w:pPr>
        <w:autoSpaceDE w:val="0"/>
        <w:autoSpaceDN w:val="0"/>
        <w:adjustRightInd w:val="0"/>
        <w:rPr>
          <w:rFonts w:ascii="Times New Roman" w:hAnsi="Times New Roman" w:cs="Times New Roman"/>
          <w:bCs/>
          <w:color w:val="000000"/>
          <w:sz w:val="28"/>
          <w:szCs w:val="28"/>
        </w:rPr>
      </w:pPr>
      <w:r w:rsidRPr="00F769E7">
        <w:rPr>
          <w:rFonts w:ascii="Times New Roman" w:hAnsi="Times New Roman" w:cs="Times New Roman"/>
          <w:color w:val="000000"/>
          <w:sz w:val="28"/>
          <w:szCs w:val="28"/>
        </w:rPr>
        <w:t xml:space="preserve">             Основними цілями реалізації державної політики у сфері </w:t>
      </w:r>
      <w:r w:rsidRPr="00F769E7">
        <w:rPr>
          <w:rFonts w:ascii="Times New Roman" w:hAnsi="Times New Roman" w:cs="Times New Roman"/>
          <w:bCs/>
          <w:color w:val="000000"/>
          <w:sz w:val="28"/>
          <w:szCs w:val="28"/>
        </w:rPr>
        <w:t>соціального</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bCs/>
          <w:color w:val="000000"/>
          <w:sz w:val="28"/>
          <w:szCs w:val="28"/>
        </w:rPr>
        <w:t xml:space="preserve">захисту та соціального забезпечення </w:t>
      </w:r>
      <w:r w:rsidRPr="00F769E7">
        <w:rPr>
          <w:rFonts w:ascii="Times New Roman" w:hAnsi="Times New Roman" w:cs="Times New Roman"/>
          <w:color w:val="000000"/>
          <w:sz w:val="28"/>
          <w:szCs w:val="28"/>
        </w:rPr>
        <w:t>на 2022-2024 роки є посилення адресної</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соціальної підтримки для підвищення ефективності використання бюджетних</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коштів та їх спрямування соціально вразливим верствам населення.</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Прогнозні граничні показники бюджету Лубенської міської територіальної громади по видатках на фінансування галузі «Соціальний захист та соціальне </w:t>
      </w:r>
      <w:proofErr w:type="gramStart"/>
      <w:r w:rsidRPr="00F769E7">
        <w:rPr>
          <w:rFonts w:ascii="Times New Roman" w:hAnsi="Times New Roman" w:cs="Times New Roman"/>
          <w:color w:val="000000"/>
          <w:sz w:val="28"/>
          <w:szCs w:val="28"/>
        </w:rPr>
        <w:t>забезпечення»  на</w:t>
      </w:r>
      <w:proofErr w:type="gramEnd"/>
      <w:r w:rsidRPr="00F769E7">
        <w:rPr>
          <w:rFonts w:ascii="Times New Roman" w:hAnsi="Times New Roman" w:cs="Times New Roman"/>
          <w:color w:val="000000"/>
          <w:sz w:val="28"/>
          <w:szCs w:val="28"/>
        </w:rPr>
        <w:t xml:space="preserve"> 2022-2024  роки передбачаються наступним головним  розпорядникам коштів: </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управлінню соціальнго захисту населення,</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виконавчому комітету Лубенської міської ради.</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За   </w:t>
      </w:r>
      <w:proofErr w:type="gramStart"/>
      <w:r w:rsidRPr="00F769E7">
        <w:rPr>
          <w:rFonts w:ascii="Times New Roman" w:hAnsi="Times New Roman" w:cs="Times New Roman"/>
          <w:color w:val="000000"/>
          <w:sz w:val="28"/>
          <w:szCs w:val="28"/>
        </w:rPr>
        <w:t>рахунок  коштів</w:t>
      </w:r>
      <w:proofErr w:type="gramEnd"/>
      <w:r w:rsidRPr="00F769E7">
        <w:rPr>
          <w:rFonts w:ascii="Times New Roman" w:hAnsi="Times New Roman" w:cs="Times New Roman"/>
          <w:color w:val="000000"/>
          <w:sz w:val="28"/>
          <w:szCs w:val="28"/>
        </w:rPr>
        <w:t xml:space="preserve">  бюджету   міської   територіальної   громади   у</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середньостроковому   періоді   </w:t>
      </w:r>
      <w:proofErr w:type="gramStart"/>
      <w:r w:rsidRPr="00F769E7">
        <w:rPr>
          <w:rFonts w:ascii="Times New Roman" w:hAnsi="Times New Roman" w:cs="Times New Roman"/>
          <w:color w:val="000000"/>
          <w:sz w:val="28"/>
          <w:szCs w:val="28"/>
        </w:rPr>
        <w:t>планується  утримувати</w:t>
      </w:r>
      <w:proofErr w:type="gramEnd"/>
      <w:r w:rsidRPr="00F769E7">
        <w:rPr>
          <w:rFonts w:ascii="Times New Roman" w:hAnsi="Times New Roman" w:cs="Times New Roman"/>
          <w:color w:val="000000"/>
          <w:sz w:val="28"/>
          <w:szCs w:val="28"/>
        </w:rPr>
        <w:t xml:space="preserve">  3 установи соціального захисту (територіальний центр соціального обслуговування, центр комплексної реабілітації дітей з інвалідністю, центр соціальних служб.</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w:t>
      </w:r>
      <w:proofErr w:type="gramStart"/>
      <w:r w:rsidRPr="00F769E7">
        <w:rPr>
          <w:rFonts w:ascii="Times New Roman" w:hAnsi="Times New Roman" w:cs="Times New Roman"/>
          <w:color w:val="000000"/>
          <w:sz w:val="28"/>
          <w:szCs w:val="28"/>
        </w:rPr>
        <w:t>Крім  цього</w:t>
      </w:r>
      <w:proofErr w:type="gramEnd"/>
      <w:r w:rsidRPr="00F769E7">
        <w:rPr>
          <w:rFonts w:ascii="Times New Roman" w:hAnsi="Times New Roman" w:cs="Times New Roman"/>
          <w:color w:val="000000"/>
          <w:sz w:val="28"/>
          <w:szCs w:val="28"/>
        </w:rPr>
        <w:t>,  на  2022 – 2024 роки  плануються  видатки  на реалізацію місцевих  програм  соціального захисту   та  соціальної  підтримки  окремих категорій  населення міста.</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Завданнями на 2022-2024 роки є:</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забезпечення максимальної адресності та наближеності надання відповідної соціальної підтримки тим, хто її потребує;</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прозорість та доступність в отриманні соціальної підтримки;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надання соціальної підтримки з урахуванням уніфікованих критеріїв </w:t>
      </w:r>
      <w:proofErr w:type="gramStart"/>
      <w:r w:rsidRPr="00F769E7">
        <w:rPr>
          <w:rFonts w:ascii="Times New Roman" w:hAnsi="Times New Roman" w:cs="Times New Roman"/>
          <w:color w:val="000000"/>
          <w:sz w:val="28"/>
          <w:szCs w:val="28"/>
        </w:rPr>
        <w:t>обрахунку  сукупного</w:t>
      </w:r>
      <w:proofErr w:type="gramEnd"/>
      <w:r w:rsidRPr="00F769E7">
        <w:rPr>
          <w:rFonts w:ascii="Times New Roman" w:hAnsi="Times New Roman" w:cs="Times New Roman"/>
          <w:color w:val="000000"/>
          <w:sz w:val="28"/>
          <w:szCs w:val="28"/>
        </w:rPr>
        <w:t xml:space="preserve">  доходу  сім’ї  та  її  фінансово-майнового стану;</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забезпечення захисту прав дитини, у тому числі шляхом розвитку сімейних та інших форм виховання дітей, наближених до сімейних;</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оздоровлення дітей;</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lastRenderedPageBreak/>
        <w:t xml:space="preserve">- удосконалення механізму запобігання та протидії домашньому насильству </w:t>
      </w:r>
      <w:proofErr w:type="gramStart"/>
      <w:r w:rsidRPr="00F769E7">
        <w:rPr>
          <w:rFonts w:ascii="Times New Roman" w:hAnsi="Times New Roman" w:cs="Times New Roman"/>
          <w:color w:val="000000"/>
          <w:sz w:val="28"/>
          <w:szCs w:val="28"/>
        </w:rPr>
        <w:t>та  насильству</w:t>
      </w:r>
      <w:proofErr w:type="gramEnd"/>
      <w:r w:rsidRPr="00F769E7">
        <w:rPr>
          <w:rFonts w:ascii="Times New Roman" w:hAnsi="Times New Roman" w:cs="Times New Roman"/>
          <w:color w:val="000000"/>
          <w:sz w:val="28"/>
          <w:szCs w:val="28"/>
        </w:rPr>
        <w:t xml:space="preserve"> за ознакою статі в умовах децентралізації.</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Основні результати, яких планується досягти: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адаптація системи надання соціальних послуг до нових вимог законодавства, </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спрощення порядку надання соціальних послуг,</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впровадження нових, сучасних комп’ютерних та Інтернет технологій;</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охоплення соціальним захистом максимальної кількості сімей та малозабезпечених </w:t>
      </w:r>
      <w:proofErr w:type="gramStart"/>
      <w:r w:rsidRPr="00F769E7">
        <w:rPr>
          <w:rFonts w:ascii="Times New Roman" w:hAnsi="Times New Roman" w:cs="Times New Roman"/>
          <w:color w:val="000000"/>
          <w:sz w:val="28"/>
          <w:szCs w:val="28"/>
        </w:rPr>
        <w:t>громадян,  які</w:t>
      </w:r>
      <w:proofErr w:type="gramEnd"/>
      <w:r w:rsidRPr="00F769E7">
        <w:rPr>
          <w:rFonts w:ascii="Times New Roman" w:hAnsi="Times New Roman" w:cs="Times New Roman"/>
          <w:color w:val="000000"/>
          <w:sz w:val="28"/>
          <w:szCs w:val="28"/>
        </w:rPr>
        <w:t xml:space="preserve">  потребують  підтримки місцевої влади;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покращення соціального діалогу між громадськими організаціями та владою.</w:t>
      </w:r>
    </w:p>
    <w:p w:rsidR="00F769E7" w:rsidRPr="00F769E7" w:rsidRDefault="00F769E7" w:rsidP="002E0952">
      <w:pPr>
        <w:autoSpaceDE w:val="0"/>
        <w:autoSpaceDN w:val="0"/>
        <w:adjustRightInd w:val="0"/>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Культура  і мистецтво</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b/>
          <w:bCs/>
          <w:color w:val="000000"/>
          <w:sz w:val="28"/>
          <w:szCs w:val="28"/>
        </w:rPr>
        <w:t xml:space="preserve">           </w:t>
      </w:r>
      <w:r w:rsidRPr="00F769E7">
        <w:rPr>
          <w:rFonts w:ascii="Times New Roman" w:hAnsi="Times New Roman" w:cs="Times New Roman"/>
          <w:color w:val="000000"/>
          <w:sz w:val="28"/>
          <w:szCs w:val="28"/>
        </w:rPr>
        <w:t xml:space="preserve">Цілями державної політики у сфері </w:t>
      </w:r>
      <w:r w:rsidRPr="00F769E7">
        <w:rPr>
          <w:rFonts w:ascii="Times New Roman" w:hAnsi="Times New Roman" w:cs="Times New Roman"/>
          <w:bCs/>
          <w:color w:val="000000"/>
          <w:sz w:val="28"/>
          <w:szCs w:val="28"/>
        </w:rPr>
        <w:t>культури</w:t>
      </w:r>
      <w:r w:rsidRPr="00F769E7">
        <w:rPr>
          <w:rFonts w:ascii="Times New Roman" w:hAnsi="Times New Roman" w:cs="Times New Roman"/>
          <w:b/>
          <w:bCs/>
          <w:color w:val="000000"/>
          <w:sz w:val="28"/>
          <w:szCs w:val="28"/>
        </w:rPr>
        <w:t xml:space="preserve">, </w:t>
      </w:r>
      <w:r w:rsidRPr="00F769E7">
        <w:rPr>
          <w:rFonts w:ascii="Times New Roman" w:hAnsi="Times New Roman" w:cs="Times New Roman"/>
          <w:color w:val="000000"/>
          <w:sz w:val="28"/>
          <w:szCs w:val="28"/>
        </w:rPr>
        <w:t>втіленням яких на місцевому рівні займається головний розпорядник бюджетних коштів - управління культури і мистецтв виконавчого комітету Лубенської міської ради (додаток 6), є відродження та духовний розвиток традицій і культури української нації.</w:t>
      </w:r>
    </w:p>
    <w:p w:rsidR="00F769E7" w:rsidRPr="00F769E7" w:rsidRDefault="00F769E7" w:rsidP="002E0952">
      <w:pPr>
        <w:autoSpaceDE w:val="0"/>
        <w:autoSpaceDN w:val="0"/>
        <w:adjustRightInd w:val="0"/>
        <w:spacing w:line="240" w:lineRule="auto"/>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Прогнозні граничні показники бюджету територіальної громади головним розпорядником бюджетних коштів  розподілені  на  реалізацію наступних бюджетних програм, а саме:</w:t>
      </w:r>
    </w:p>
    <w:p w:rsidR="00F769E7" w:rsidRPr="00F769E7" w:rsidRDefault="00F769E7" w:rsidP="002E0952">
      <w:pPr>
        <w:autoSpaceDE w:val="0"/>
        <w:autoSpaceDN w:val="0"/>
        <w:adjustRightInd w:val="0"/>
        <w:spacing w:line="240" w:lineRule="auto"/>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КПКВ 4030 «Забезпечення діяльності бібліотек» на утримання 26-ти бібліотек на території громади;</w:t>
      </w:r>
    </w:p>
    <w:p w:rsidR="00F769E7" w:rsidRPr="00F769E7" w:rsidRDefault="00F769E7" w:rsidP="002E0952">
      <w:pPr>
        <w:autoSpaceDE w:val="0"/>
        <w:autoSpaceDN w:val="0"/>
        <w:adjustRightInd w:val="0"/>
        <w:spacing w:line="240" w:lineRule="auto"/>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КПКВ 4040 «Забезпечення діяльності музеїв і виставок» на утримання 2-ох музеїв;</w:t>
      </w:r>
    </w:p>
    <w:p w:rsidR="00F769E7" w:rsidRPr="00F769E7" w:rsidRDefault="00F769E7" w:rsidP="002E0952">
      <w:pPr>
        <w:autoSpaceDE w:val="0"/>
        <w:autoSpaceDN w:val="0"/>
        <w:adjustRightInd w:val="0"/>
        <w:spacing w:line="240" w:lineRule="auto"/>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КПКВ 4060 «Забезпечення діяльності палаців і будинків культури, клубів, центрів дозвілля та інших клубних закладів», реалізацію якої здійснюватиме 46 закладів;</w:t>
      </w:r>
    </w:p>
    <w:p w:rsidR="00F769E7" w:rsidRPr="00F769E7" w:rsidRDefault="00F769E7" w:rsidP="002E0952">
      <w:pPr>
        <w:autoSpaceDE w:val="0"/>
        <w:autoSpaceDN w:val="0"/>
        <w:adjustRightInd w:val="0"/>
        <w:spacing w:line="240" w:lineRule="auto"/>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КПКВ 4081 «Забезпечення діяльності інших закладів в галузі культури і мистецтва» на утримання централізованої бухгалтерії управління культури і мистецтв   </w:t>
      </w:r>
      <w:proofErr w:type="gramStart"/>
      <w:r w:rsidRPr="00F769E7">
        <w:rPr>
          <w:rFonts w:ascii="Times New Roman" w:hAnsi="Times New Roman" w:cs="Times New Roman"/>
          <w:color w:val="000000"/>
          <w:sz w:val="28"/>
          <w:szCs w:val="28"/>
        </w:rPr>
        <w:t>міської  ради</w:t>
      </w:r>
      <w:proofErr w:type="gramEnd"/>
      <w:r w:rsidRPr="00F769E7">
        <w:rPr>
          <w:rFonts w:ascii="Times New Roman" w:hAnsi="Times New Roman" w:cs="Times New Roman"/>
          <w:color w:val="000000"/>
          <w:sz w:val="28"/>
          <w:szCs w:val="28"/>
        </w:rPr>
        <w:t xml:space="preserve">  та  фінансова  підтримка  парку  культури  та відпочинку;</w:t>
      </w:r>
    </w:p>
    <w:p w:rsidR="00F769E7" w:rsidRPr="00F769E7" w:rsidRDefault="00F769E7" w:rsidP="002E0952">
      <w:pPr>
        <w:autoSpaceDE w:val="0"/>
        <w:autoSpaceDN w:val="0"/>
        <w:adjustRightInd w:val="0"/>
        <w:spacing w:line="240" w:lineRule="auto"/>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КПКВ 4082 «Інші заходи в галузі культури і мистецтва» на утримання </w:t>
      </w:r>
      <w:r w:rsidRPr="00F769E7">
        <w:rPr>
          <w:rFonts w:ascii="Times New Roman" w:hAnsi="Times New Roman" w:cs="Times New Roman"/>
          <w:color w:val="000000"/>
          <w:sz w:val="28"/>
          <w:szCs w:val="28"/>
          <w:lang w:val="en-US"/>
        </w:rPr>
        <w:t>Wi</w:t>
      </w:r>
      <w:r w:rsidRPr="00F769E7">
        <w:rPr>
          <w:rFonts w:ascii="Times New Roman" w:hAnsi="Times New Roman" w:cs="Times New Roman"/>
          <w:color w:val="000000"/>
          <w:sz w:val="28"/>
          <w:szCs w:val="28"/>
        </w:rPr>
        <w:t>-F</w:t>
      </w:r>
      <w:r w:rsidRPr="00F769E7">
        <w:rPr>
          <w:rFonts w:ascii="Times New Roman" w:hAnsi="Times New Roman" w:cs="Times New Roman"/>
          <w:color w:val="000000"/>
          <w:sz w:val="28"/>
          <w:szCs w:val="28"/>
          <w:lang w:val="en-US"/>
        </w:rPr>
        <w:t>i</w:t>
      </w:r>
      <w:r w:rsidRPr="00F769E7">
        <w:rPr>
          <w:rFonts w:ascii="Times New Roman" w:hAnsi="Times New Roman" w:cs="Times New Roman"/>
          <w:color w:val="000000"/>
          <w:sz w:val="28"/>
          <w:szCs w:val="28"/>
        </w:rPr>
        <w:t xml:space="preserve"> зони в парку культури.</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lastRenderedPageBreak/>
        <w:t xml:space="preserve">              Протягом 2022-2024 років планується досягти наступних результатів:</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запровадження  системи  державних стандартів щодо надання культурних послуг населенню;</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збільшення  туристичного  потоку  та  перетворення  туризму  на  одну  з прибуткових галузей економіки міста.</w:t>
      </w:r>
    </w:p>
    <w:p w:rsidR="00F769E7" w:rsidRPr="00F769E7" w:rsidRDefault="00F769E7" w:rsidP="00F769E7">
      <w:pPr>
        <w:rPr>
          <w:rFonts w:ascii="Times New Roman" w:hAnsi="Times New Roman" w:cs="Times New Roman"/>
          <w:sz w:val="28"/>
          <w:szCs w:val="28"/>
        </w:rPr>
      </w:pPr>
    </w:p>
    <w:p w:rsidR="00F769E7" w:rsidRPr="00F769E7" w:rsidRDefault="00F769E7" w:rsidP="002E0952">
      <w:pPr>
        <w:autoSpaceDE w:val="0"/>
        <w:autoSpaceDN w:val="0"/>
        <w:adjustRightInd w:val="0"/>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Фізична культура та спорт</w:t>
      </w:r>
    </w:p>
    <w:p w:rsidR="00F769E7" w:rsidRPr="00F769E7" w:rsidRDefault="00F769E7" w:rsidP="002E0952">
      <w:pPr>
        <w:autoSpaceDE w:val="0"/>
        <w:autoSpaceDN w:val="0"/>
        <w:adjustRightInd w:val="0"/>
        <w:spacing w:after="0" w:line="240" w:lineRule="auto"/>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w:t>
      </w:r>
      <w:proofErr w:type="gramStart"/>
      <w:r w:rsidRPr="00F769E7">
        <w:rPr>
          <w:rFonts w:ascii="Times New Roman" w:hAnsi="Times New Roman" w:cs="Times New Roman"/>
          <w:color w:val="000000"/>
          <w:sz w:val="28"/>
          <w:szCs w:val="28"/>
        </w:rPr>
        <w:t>Цілями  державної</w:t>
      </w:r>
      <w:proofErr w:type="gramEnd"/>
      <w:r w:rsidRPr="00F769E7">
        <w:rPr>
          <w:rFonts w:ascii="Times New Roman" w:hAnsi="Times New Roman" w:cs="Times New Roman"/>
          <w:color w:val="000000"/>
          <w:sz w:val="28"/>
          <w:szCs w:val="28"/>
        </w:rPr>
        <w:t xml:space="preserve">  політики  у  сфері  </w:t>
      </w:r>
      <w:r w:rsidRPr="00F769E7">
        <w:rPr>
          <w:rFonts w:ascii="Times New Roman" w:hAnsi="Times New Roman" w:cs="Times New Roman"/>
          <w:bCs/>
          <w:color w:val="000000"/>
          <w:sz w:val="28"/>
          <w:szCs w:val="28"/>
        </w:rPr>
        <w:t>фізичної  культури та спорту</w:t>
      </w:r>
      <w:r w:rsidRPr="00F769E7">
        <w:rPr>
          <w:rFonts w:ascii="Times New Roman" w:hAnsi="Times New Roman" w:cs="Times New Roman"/>
          <w:b/>
          <w:bCs/>
          <w:color w:val="000000"/>
          <w:sz w:val="28"/>
          <w:szCs w:val="28"/>
        </w:rPr>
        <w:t xml:space="preserve">, </w:t>
      </w:r>
      <w:r w:rsidRPr="00F769E7">
        <w:rPr>
          <w:rFonts w:ascii="Times New Roman" w:hAnsi="Times New Roman" w:cs="Times New Roman"/>
          <w:color w:val="000000"/>
          <w:sz w:val="28"/>
          <w:szCs w:val="28"/>
        </w:rPr>
        <w:t>які</w:t>
      </w:r>
    </w:p>
    <w:p w:rsidR="00F769E7" w:rsidRPr="00F769E7" w:rsidRDefault="00F769E7" w:rsidP="002E0952">
      <w:pPr>
        <w:autoSpaceDE w:val="0"/>
        <w:autoSpaceDN w:val="0"/>
        <w:adjustRightInd w:val="0"/>
        <w:spacing w:after="0" w:line="240" w:lineRule="auto"/>
        <w:jc w:val="both"/>
        <w:rPr>
          <w:rFonts w:ascii="Times New Roman" w:hAnsi="Times New Roman" w:cs="Times New Roman"/>
          <w:color w:val="000000"/>
          <w:sz w:val="28"/>
          <w:szCs w:val="28"/>
        </w:rPr>
      </w:pPr>
      <w:proofErr w:type="gramStart"/>
      <w:r w:rsidRPr="00F769E7">
        <w:rPr>
          <w:rFonts w:ascii="Times New Roman" w:hAnsi="Times New Roman" w:cs="Times New Roman"/>
          <w:color w:val="000000"/>
          <w:sz w:val="28"/>
          <w:szCs w:val="28"/>
        </w:rPr>
        <w:t>реалізують  головні</w:t>
      </w:r>
      <w:proofErr w:type="gramEnd"/>
      <w:r w:rsidRPr="00F769E7">
        <w:rPr>
          <w:rFonts w:ascii="Times New Roman" w:hAnsi="Times New Roman" w:cs="Times New Roman"/>
          <w:color w:val="000000"/>
          <w:sz w:val="28"/>
          <w:szCs w:val="28"/>
        </w:rPr>
        <w:t xml:space="preserve"> розпорядники бюджетних коштів    -  виконавчий комітет Лубенської  міської  ради  Лубенського  району   та   управління   освіти виконавчого  комітету  міської  ради  (додаток 6),  є  створення  умов   для розвитку   індивідуальних  здібностей  спортсменів  та  досягнення  високих спортивних результатів.</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Прогнозні граничні показники видатків головними розпорядниками коштів  направлені  на  КПКВ 5031 «Утримання та навчально-тренувальна робота комунальних дитячо-юнацьких спортивних шкіл» на утримання Лубенської  дитячо-юнацької  спортивної  школи ,  на проведення навчально-тренувальних  зборів  і  змагань  за   КПКВ 5011 «Проведення навчально-тренувальних  зборів  і  змагань  з  олімпійських  видів спорту»,  КПКВ 5012 «Проведення навчально-тренувальних зборів і змагань з неолімпійських видів спорту»,  а  також  на  фінансову  підтримку  стадіону «Центральний» (КПКВ 5041).</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Протягом 2022-2024 років планується досягти наступних результатів:</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створення безпечних умов для залучення широких верств населення до масового спорту;</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удосконалення механізму утримання мережі сучасних спортивних споруд;</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створення стимулів </w:t>
      </w:r>
      <w:proofErr w:type="gramStart"/>
      <w:r w:rsidRPr="00F769E7">
        <w:rPr>
          <w:rFonts w:ascii="Times New Roman" w:hAnsi="Times New Roman" w:cs="Times New Roman"/>
          <w:color w:val="000000"/>
          <w:sz w:val="28"/>
          <w:szCs w:val="28"/>
        </w:rPr>
        <w:t>для здорового способу</w:t>
      </w:r>
      <w:proofErr w:type="gramEnd"/>
      <w:r w:rsidRPr="00F769E7">
        <w:rPr>
          <w:rFonts w:ascii="Times New Roman" w:hAnsi="Times New Roman" w:cs="Times New Roman"/>
          <w:color w:val="000000"/>
          <w:sz w:val="28"/>
          <w:szCs w:val="28"/>
        </w:rPr>
        <w:t xml:space="preserve"> життя й здорових умов праці шляхом розвитку інфраструктури для занять масовим спортом та активного відпочинку.</w:t>
      </w:r>
    </w:p>
    <w:p w:rsidR="00F769E7" w:rsidRPr="00F769E7" w:rsidRDefault="00F769E7" w:rsidP="002E0952">
      <w:pPr>
        <w:autoSpaceDE w:val="0"/>
        <w:autoSpaceDN w:val="0"/>
        <w:adjustRightInd w:val="0"/>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Житлово-комунальне господарство</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b/>
          <w:bCs/>
          <w:color w:val="000000"/>
          <w:sz w:val="28"/>
          <w:szCs w:val="28"/>
        </w:rPr>
        <w:t xml:space="preserve">             </w:t>
      </w:r>
      <w:proofErr w:type="gramStart"/>
      <w:r w:rsidRPr="00F769E7">
        <w:rPr>
          <w:rFonts w:ascii="Times New Roman" w:hAnsi="Times New Roman" w:cs="Times New Roman"/>
          <w:color w:val="000000"/>
          <w:sz w:val="28"/>
          <w:szCs w:val="28"/>
        </w:rPr>
        <w:t>Реалізація  цілей</w:t>
      </w:r>
      <w:proofErr w:type="gramEnd"/>
      <w:r w:rsidRPr="00F769E7">
        <w:rPr>
          <w:rFonts w:ascii="Times New Roman" w:hAnsi="Times New Roman" w:cs="Times New Roman"/>
          <w:color w:val="000000"/>
          <w:sz w:val="28"/>
          <w:szCs w:val="28"/>
        </w:rPr>
        <w:t xml:space="preserve"> державної політики, власних повноважень органів місцевого  самоврядування  в  сфері  утримання,  благоустрою  та  розвитку житлово-комунального   господарства  територіальної  громади,  а  також у </w:t>
      </w:r>
      <w:r w:rsidRPr="00F769E7">
        <w:rPr>
          <w:rFonts w:ascii="Times New Roman" w:hAnsi="Times New Roman" w:cs="Times New Roman"/>
          <w:color w:val="000000"/>
          <w:sz w:val="28"/>
          <w:szCs w:val="28"/>
        </w:rPr>
        <w:lastRenderedPageBreak/>
        <w:t>сфері  забезпечення  ефективного  функціонування та  розвитку  вулично-дорожньої  мережі .</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Пріоритетними   напрямками  розвитку   </w:t>
      </w:r>
      <w:r w:rsidRPr="00F769E7">
        <w:rPr>
          <w:rFonts w:ascii="Times New Roman" w:hAnsi="Times New Roman" w:cs="Times New Roman"/>
          <w:bCs/>
          <w:color w:val="000000"/>
          <w:sz w:val="28"/>
          <w:szCs w:val="28"/>
        </w:rPr>
        <w:t xml:space="preserve">житлово-комунального господарства  </w:t>
      </w:r>
      <w:r w:rsidRPr="00F769E7">
        <w:rPr>
          <w:rFonts w:ascii="Times New Roman" w:hAnsi="Times New Roman" w:cs="Times New Roman"/>
          <w:color w:val="000000"/>
          <w:sz w:val="28"/>
          <w:szCs w:val="28"/>
        </w:rPr>
        <w:t>є  задоволення  потреб  мешканців  в  усіх  видах житлово-комунальних послуг,   створення  комфортних умов для проживання   та надання  їм  якісних   житлово-комунальних послуг,   належне утримання об’єктів  комунальної  власності,  реконструкція  системи водопостачання та водовідведення  міста,  збільшення  обсягів   робіт   капітального ремонту житлового фонду, ліфтів та об’єктів благоустрою, поступова переорієнтація житлово-комунального господарства  громади  на енергоефективний шлях, зменшення енергомісткості при наданні житлово-комунальних послуг.</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У   </w:t>
      </w:r>
      <w:proofErr w:type="gramStart"/>
      <w:r w:rsidRPr="00F769E7">
        <w:rPr>
          <w:rFonts w:ascii="Times New Roman" w:hAnsi="Times New Roman" w:cs="Times New Roman"/>
          <w:color w:val="000000"/>
          <w:sz w:val="28"/>
          <w:szCs w:val="28"/>
        </w:rPr>
        <w:t xml:space="preserve">сфері  </w:t>
      </w:r>
      <w:r w:rsidRPr="00F769E7">
        <w:rPr>
          <w:rFonts w:ascii="Times New Roman" w:hAnsi="Times New Roman" w:cs="Times New Roman"/>
          <w:bCs/>
          <w:color w:val="000000"/>
          <w:sz w:val="28"/>
          <w:szCs w:val="28"/>
        </w:rPr>
        <w:t>дорожнього</w:t>
      </w:r>
      <w:proofErr w:type="gramEnd"/>
      <w:r w:rsidRPr="00F769E7">
        <w:rPr>
          <w:rFonts w:ascii="Times New Roman" w:hAnsi="Times New Roman" w:cs="Times New Roman"/>
          <w:bCs/>
          <w:color w:val="000000"/>
          <w:sz w:val="28"/>
          <w:szCs w:val="28"/>
        </w:rPr>
        <w:t xml:space="preserve">  господарства </w:t>
      </w:r>
      <w:r w:rsidRPr="00F769E7">
        <w:rPr>
          <w:rFonts w:ascii="Times New Roman" w:hAnsi="Times New Roman" w:cs="Times New Roman"/>
          <w:b/>
          <w:bCs/>
          <w:color w:val="000000"/>
          <w:sz w:val="28"/>
          <w:szCs w:val="28"/>
        </w:rPr>
        <w:t xml:space="preserve"> </w:t>
      </w:r>
      <w:r w:rsidRPr="00F769E7">
        <w:rPr>
          <w:rFonts w:ascii="Times New Roman" w:hAnsi="Times New Roman" w:cs="Times New Roman"/>
          <w:color w:val="000000"/>
          <w:sz w:val="28"/>
          <w:szCs w:val="28"/>
        </w:rPr>
        <w:t>у  прогнозному  періоді передбачається    здійснити   заходи  із    поліпшення    транспортно -експлуатаційного стану існуючих  автомобільних доріг,  проведення робіт з реконструкції  і ремонту доріг територіальної громади,  капітального ремонту   тротуарів; підвищення безпеки дорожнього руху.</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Основними завданнями та напрямами, за якими буде продовжено роботу в галузі житлово-комунального та дорожнього господарства, є: </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покращення   </w:t>
      </w:r>
      <w:proofErr w:type="gramStart"/>
      <w:r w:rsidRPr="00F769E7">
        <w:rPr>
          <w:rFonts w:ascii="Times New Roman" w:hAnsi="Times New Roman" w:cs="Times New Roman"/>
          <w:color w:val="000000"/>
          <w:sz w:val="28"/>
          <w:szCs w:val="28"/>
        </w:rPr>
        <w:t>стану  будинків</w:t>
      </w:r>
      <w:proofErr w:type="gramEnd"/>
      <w:r w:rsidRPr="00F769E7">
        <w:rPr>
          <w:rFonts w:ascii="Times New Roman" w:hAnsi="Times New Roman" w:cs="Times New Roman"/>
          <w:color w:val="000000"/>
          <w:sz w:val="28"/>
          <w:szCs w:val="28"/>
        </w:rPr>
        <w:t xml:space="preserve">  та  умов проживання у них;</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-освітлення території </w:t>
      </w:r>
      <w:proofErr w:type="gramStart"/>
      <w:r w:rsidRPr="00F769E7">
        <w:rPr>
          <w:rFonts w:ascii="Times New Roman" w:hAnsi="Times New Roman" w:cs="Times New Roman"/>
          <w:color w:val="000000"/>
          <w:sz w:val="28"/>
          <w:szCs w:val="28"/>
        </w:rPr>
        <w:t>громади  із</w:t>
      </w:r>
      <w:proofErr w:type="gramEnd"/>
      <w:r w:rsidRPr="00F769E7">
        <w:rPr>
          <w:rFonts w:ascii="Times New Roman" w:hAnsi="Times New Roman" w:cs="Times New Roman"/>
          <w:color w:val="000000"/>
          <w:sz w:val="28"/>
          <w:szCs w:val="28"/>
        </w:rPr>
        <w:t xml:space="preserve"> застосуванням енергоощадних світильників; </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-відновлення та створення нових зелених зон культурно-масового відпочинку для мешканців міста,</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комплексна модернізація системи водопостачання та водовідведення;</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покращення стану вулиць, автомобільних доріг, </w:t>
      </w:r>
    </w:p>
    <w:p w:rsidR="00F769E7" w:rsidRPr="00F769E7" w:rsidRDefault="00F769E7" w:rsidP="00F769E7">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забезпечення безпеки дорожнього руху.</w:t>
      </w:r>
    </w:p>
    <w:p w:rsidR="00F769E7" w:rsidRPr="00F769E7" w:rsidRDefault="00F769E7" w:rsidP="00F769E7">
      <w:pPr>
        <w:autoSpaceDE w:val="0"/>
        <w:autoSpaceDN w:val="0"/>
        <w:adjustRightInd w:val="0"/>
        <w:rPr>
          <w:rFonts w:ascii="Times New Roman" w:hAnsi="Times New Roman" w:cs="Times New Roman"/>
          <w:color w:val="000000"/>
          <w:sz w:val="28"/>
          <w:szCs w:val="28"/>
        </w:rPr>
      </w:pPr>
    </w:p>
    <w:p w:rsidR="00F769E7" w:rsidRPr="00F769E7" w:rsidRDefault="00F769E7" w:rsidP="002E0952">
      <w:pPr>
        <w:autoSpaceDE w:val="0"/>
        <w:autoSpaceDN w:val="0"/>
        <w:adjustRightInd w:val="0"/>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Державне управління</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b/>
          <w:bCs/>
          <w:color w:val="000000"/>
          <w:sz w:val="28"/>
          <w:szCs w:val="28"/>
        </w:rPr>
        <w:t xml:space="preserve">             </w:t>
      </w:r>
      <w:r w:rsidRPr="00F769E7">
        <w:rPr>
          <w:rFonts w:ascii="Times New Roman" w:hAnsi="Times New Roman" w:cs="Times New Roman"/>
          <w:color w:val="000000"/>
          <w:sz w:val="28"/>
          <w:szCs w:val="28"/>
        </w:rPr>
        <w:t xml:space="preserve">Надані   законодавством   </w:t>
      </w:r>
      <w:proofErr w:type="gramStart"/>
      <w:r w:rsidRPr="00F769E7">
        <w:rPr>
          <w:rFonts w:ascii="Times New Roman" w:hAnsi="Times New Roman" w:cs="Times New Roman"/>
          <w:color w:val="000000"/>
          <w:sz w:val="28"/>
          <w:szCs w:val="28"/>
        </w:rPr>
        <w:t>повноваження  у</w:t>
      </w:r>
      <w:proofErr w:type="gramEnd"/>
      <w:r w:rsidRPr="00F769E7">
        <w:rPr>
          <w:rFonts w:ascii="Times New Roman" w:hAnsi="Times New Roman" w:cs="Times New Roman"/>
          <w:color w:val="000000"/>
          <w:sz w:val="28"/>
          <w:szCs w:val="28"/>
        </w:rPr>
        <w:t xml:space="preserve">   сфері   </w:t>
      </w:r>
      <w:r w:rsidRPr="00F769E7">
        <w:rPr>
          <w:rFonts w:ascii="Times New Roman" w:hAnsi="Times New Roman" w:cs="Times New Roman"/>
          <w:bCs/>
          <w:color w:val="000000"/>
          <w:sz w:val="28"/>
          <w:szCs w:val="28"/>
        </w:rPr>
        <w:t xml:space="preserve">державного управління  </w:t>
      </w:r>
      <w:r w:rsidRPr="00F769E7">
        <w:rPr>
          <w:rFonts w:ascii="Times New Roman" w:hAnsi="Times New Roman" w:cs="Times New Roman"/>
          <w:color w:val="000000"/>
          <w:sz w:val="28"/>
          <w:szCs w:val="28"/>
        </w:rPr>
        <w:t xml:space="preserve">у   Лубенській   територіальній   громаді      реалізовуються   через Лубенську    міську   раду    представлену   виконавчим   комітетом ради </w:t>
      </w:r>
      <w:r w:rsidR="002E0952">
        <w:rPr>
          <w:rFonts w:ascii="Times New Roman" w:hAnsi="Times New Roman" w:cs="Times New Roman"/>
          <w:color w:val="000000"/>
          <w:sz w:val="28"/>
          <w:szCs w:val="28"/>
          <w:lang w:val="uk-UA"/>
        </w:rPr>
        <w:t xml:space="preserve"> </w:t>
      </w:r>
      <w:r w:rsidRPr="00F769E7">
        <w:rPr>
          <w:rFonts w:ascii="Times New Roman" w:hAnsi="Times New Roman" w:cs="Times New Roman"/>
          <w:color w:val="000000"/>
          <w:sz w:val="28"/>
          <w:szCs w:val="28"/>
        </w:rPr>
        <w:t>та  7  самостійни</w:t>
      </w:r>
      <w:r w:rsidR="00F41E80">
        <w:rPr>
          <w:rFonts w:ascii="Times New Roman" w:hAnsi="Times New Roman" w:cs="Times New Roman"/>
          <w:color w:val="000000"/>
          <w:sz w:val="28"/>
          <w:szCs w:val="28"/>
          <w:lang w:val="uk-UA"/>
        </w:rPr>
        <w:t>ми</w:t>
      </w:r>
      <w:r w:rsidRPr="00F769E7">
        <w:rPr>
          <w:rFonts w:ascii="Times New Roman" w:hAnsi="Times New Roman" w:cs="Times New Roman"/>
          <w:color w:val="000000"/>
          <w:sz w:val="28"/>
          <w:szCs w:val="28"/>
        </w:rPr>
        <w:t xml:space="preserve">   управлін</w:t>
      </w:r>
      <w:r w:rsidR="00F41E80">
        <w:rPr>
          <w:rFonts w:ascii="Times New Roman" w:hAnsi="Times New Roman" w:cs="Times New Roman"/>
          <w:color w:val="000000"/>
          <w:sz w:val="28"/>
          <w:szCs w:val="28"/>
          <w:lang w:val="uk-UA"/>
        </w:rPr>
        <w:t>ннями</w:t>
      </w:r>
      <w:r w:rsidRPr="00F769E7">
        <w:rPr>
          <w:rFonts w:ascii="Times New Roman" w:hAnsi="Times New Roman" w:cs="Times New Roman"/>
          <w:color w:val="000000"/>
          <w:sz w:val="28"/>
          <w:szCs w:val="28"/>
        </w:rPr>
        <w:t xml:space="preserve">  із  загальною  чисельністю   309  </w:t>
      </w:r>
      <w:r w:rsidRPr="00F769E7">
        <w:rPr>
          <w:rFonts w:ascii="Times New Roman" w:hAnsi="Times New Roman" w:cs="Times New Roman"/>
          <w:color w:val="000000"/>
          <w:sz w:val="28"/>
          <w:szCs w:val="28"/>
        </w:rPr>
        <w:lastRenderedPageBreak/>
        <w:t>штатних  одиниць станом   на 01.07.2021 року,  що  на  87  одиниць більше, ніж було на 01.01.2021р.</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Метою    </w:t>
      </w:r>
      <w:proofErr w:type="gramStart"/>
      <w:r w:rsidRPr="00F769E7">
        <w:rPr>
          <w:rFonts w:ascii="Times New Roman" w:hAnsi="Times New Roman" w:cs="Times New Roman"/>
          <w:color w:val="000000"/>
          <w:sz w:val="28"/>
          <w:szCs w:val="28"/>
        </w:rPr>
        <w:t>діяльності  є</w:t>
      </w:r>
      <w:proofErr w:type="gramEnd"/>
      <w:r w:rsidRPr="00F769E7">
        <w:rPr>
          <w:rFonts w:ascii="Times New Roman" w:hAnsi="Times New Roman" w:cs="Times New Roman"/>
          <w:color w:val="000000"/>
          <w:sz w:val="28"/>
          <w:szCs w:val="28"/>
        </w:rPr>
        <w:t xml:space="preserve">  організаційне,   інформаційно-аналітичне   та матеріально-технічне   забезпечення   функціонування    органів   місцевого самоврядування,      керівництво   та   управління  виконавчими   органами  у відповідних            сферах     для    ефективного       представлення інтересів територіальної громади та здійснення від її імені та в її інтересах функцій і повноважень  місцевого самоврядування,   визначених    Конституцією  та  законами  України.</w:t>
      </w:r>
    </w:p>
    <w:p w:rsidR="00F769E7" w:rsidRPr="00F769E7" w:rsidRDefault="00F769E7" w:rsidP="00F41E80">
      <w:pPr>
        <w:autoSpaceDE w:val="0"/>
        <w:autoSpaceDN w:val="0"/>
        <w:adjustRightInd w:val="0"/>
        <w:spacing w:after="0" w:line="240" w:lineRule="auto"/>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w:t>
      </w:r>
      <w:proofErr w:type="gramStart"/>
      <w:r w:rsidRPr="00F769E7">
        <w:rPr>
          <w:rFonts w:ascii="Times New Roman" w:hAnsi="Times New Roman" w:cs="Times New Roman"/>
          <w:color w:val="000000"/>
          <w:sz w:val="28"/>
          <w:szCs w:val="28"/>
        </w:rPr>
        <w:t>Пріоритетним  напрямком</w:t>
      </w:r>
      <w:proofErr w:type="gramEnd"/>
      <w:r w:rsidRPr="00F769E7">
        <w:rPr>
          <w:rFonts w:ascii="Times New Roman" w:hAnsi="Times New Roman" w:cs="Times New Roman"/>
          <w:color w:val="000000"/>
          <w:sz w:val="28"/>
          <w:szCs w:val="28"/>
        </w:rPr>
        <w:t xml:space="preserve">  у сфері державного управління   є   надання</w:t>
      </w:r>
    </w:p>
    <w:p w:rsidR="00F769E7" w:rsidRPr="00F769E7" w:rsidRDefault="00F769E7" w:rsidP="00F41E80">
      <w:pPr>
        <w:autoSpaceDE w:val="0"/>
        <w:autoSpaceDN w:val="0"/>
        <w:adjustRightInd w:val="0"/>
        <w:spacing w:after="0" w:line="240" w:lineRule="auto"/>
        <w:jc w:val="both"/>
        <w:rPr>
          <w:rFonts w:ascii="Times New Roman" w:hAnsi="Times New Roman" w:cs="Times New Roman"/>
          <w:color w:val="000000"/>
          <w:sz w:val="28"/>
          <w:szCs w:val="28"/>
        </w:rPr>
      </w:pPr>
      <w:proofErr w:type="gramStart"/>
      <w:r w:rsidRPr="00F769E7">
        <w:rPr>
          <w:rFonts w:ascii="Times New Roman" w:hAnsi="Times New Roman" w:cs="Times New Roman"/>
          <w:color w:val="000000"/>
          <w:sz w:val="28"/>
          <w:szCs w:val="28"/>
        </w:rPr>
        <w:t>виконавчими  органами</w:t>
      </w:r>
      <w:proofErr w:type="gramEnd"/>
      <w:r w:rsidRPr="00F769E7">
        <w:rPr>
          <w:rFonts w:ascii="Times New Roman" w:hAnsi="Times New Roman" w:cs="Times New Roman"/>
          <w:color w:val="000000"/>
          <w:sz w:val="28"/>
          <w:szCs w:val="28"/>
        </w:rPr>
        <w:t xml:space="preserve"> Лубенської  міської ради високоякісних і доступних адміністративних,  соціальних  та   інших послуг населенню,  налагодження  ефективного   діалогу  та  партнерських   відносин  виконавчих  органів   з громадськими організаціями,  забезпечення участі громадськості у реалізації регіональної політики та розв’язанні  питань місцевого значення.</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У 2022-2024 роках передбачається здійснити такі заходи: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w:t>
      </w:r>
      <w:proofErr w:type="gramStart"/>
      <w:r w:rsidRPr="00F769E7">
        <w:rPr>
          <w:rFonts w:ascii="Times New Roman" w:hAnsi="Times New Roman" w:cs="Times New Roman"/>
          <w:color w:val="000000"/>
          <w:sz w:val="28"/>
          <w:szCs w:val="28"/>
        </w:rPr>
        <w:t>забезпечити  принцип</w:t>
      </w:r>
      <w:proofErr w:type="gramEnd"/>
      <w:r w:rsidRPr="00F769E7">
        <w:rPr>
          <w:rFonts w:ascii="Times New Roman" w:hAnsi="Times New Roman" w:cs="Times New Roman"/>
          <w:color w:val="000000"/>
          <w:sz w:val="28"/>
          <w:szCs w:val="28"/>
        </w:rPr>
        <w:t xml:space="preserve">  прозорості у діяльності виконавчих органів  ради;</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впровадження інформаційних технологій та електронного документообігу;</w:t>
      </w:r>
    </w:p>
    <w:p w:rsidR="00F769E7" w:rsidRPr="00F769E7" w:rsidRDefault="00F769E7" w:rsidP="00F769E7">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оптимізація та організація ефективної діяльності  центру  надання адміністративних послуг.</w:t>
      </w:r>
    </w:p>
    <w:p w:rsidR="002E0952" w:rsidRPr="00F769E7" w:rsidRDefault="002E0952" w:rsidP="002E0952">
      <w:pPr>
        <w:autoSpaceDE w:val="0"/>
        <w:autoSpaceDN w:val="0"/>
        <w:adjustRightInd w:val="0"/>
        <w:jc w:val="both"/>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 xml:space="preserve">                                            VIІ. Бюджет розвитку</w:t>
      </w:r>
    </w:p>
    <w:p w:rsidR="002E0952" w:rsidRPr="00F769E7" w:rsidRDefault="002E0952" w:rsidP="002E0952">
      <w:pPr>
        <w:autoSpaceDE w:val="0"/>
        <w:autoSpaceDN w:val="0"/>
        <w:adjustRightInd w:val="0"/>
        <w:spacing w:after="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Обсяги     </w:t>
      </w:r>
      <w:proofErr w:type="gramStart"/>
      <w:r w:rsidRPr="00F769E7">
        <w:rPr>
          <w:rFonts w:ascii="Times New Roman" w:hAnsi="Times New Roman" w:cs="Times New Roman"/>
          <w:color w:val="000000"/>
          <w:sz w:val="28"/>
          <w:szCs w:val="28"/>
        </w:rPr>
        <w:t>бюджету  розвитку</w:t>
      </w:r>
      <w:proofErr w:type="gramEnd"/>
      <w:r w:rsidRPr="00F769E7">
        <w:rPr>
          <w:rFonts w:ascii="Times New Roman" w:hAnsi="Times New Roman" w:cs="Times New Roman"/>
          <w:color w:val="000000"/>
          <w:sz w:val="28"/>
          <w:szCs w:val="28"/>
        </w:rPr>
        <w:t xml:space="preserve">   за   основними   видами   надходжень   та орієнтовними  обсягами  витрат  у середньостроковому періоді наведені у</w:t>
      </w:r>
    </w:p>
    <w:p w:rsidR="002E0952" w:rsidRPr="00F769E7" w:rsidRDefault="002E0952" w:rsidP="002E0952">
      <w:pPr>
        <w:autoSpaceDE w:val="0"/>
        <w:autoSpaceDN w:val="0"/>
        <w:adjustRightInd w:val="0"/>
        <w:spacing w:after="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додатках 9.  </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Додаток </w:t>
      </w:r>
      <w:proofErr w:type="gramStart"/>
      <w:r w:rsidRPr="00F769E7">
        <w:rPr>
          <w:rFonts w:ascii="Times New Roman" w:hAnsi="Times New Roman" w:cs="Times New Roman"/>
          <w:color w:val="000000"/>
          <w:sz w:val="28"/>
          <w:szCs w:val="28"/>
        </w:rPr>
        <w:t>10  відображає</w:t>
      </w:r>
      <w:proofErr w:type="gramEnd"/>
      <w:r w:rsidRPr="00F769E7">
        <w:rPr>
          <w:rFonts w:ascii="Times New Roman" w:hAnsi="Times New Roman" w:cs="Times New Roman"/>
          <w:color w:val="000000"/>
          <w:sz w:val="28"/>
          <w:szCs w:val="28"/>
        </w:rPr>
        <w:t xml:space="preserve"> інформацію щодо інвестиційних проєктів.</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w:t>
      </w:r>
      <w:proofErr w:type="gramStart"/>
      <w:r w:rsidRPr="00F769E7">
        <w:rPr>
          <w:rFonts w:ascii="Times New Roman" w:hAnsi="Times New Roman" w:cs="Times New Roman"/>
          <w:color w:val="000000"/>
          <w:sz w:val="28"/>
          <w:szCs w:val="28"/>
        </w:rPr>
        <w:t>Упродовж  середньострокового</w:t>
      </w:r>
      <w:proofErr w:type="gramEnd"/>
      <w:r w:rsidRPr="00F769E7">
        <w:rPr>
          <w:rFonts w:ascii="Times New Roman" w:hAnsi="Times New Roman" w:cs="Times New Roman"/>
          <w:color w:val="000000"/>
          <w:sz w:val="28"/>
          <w:szCs w:val="28"/>
        </w:rPr>
        <w:t xml:space="preserve"> періоду планується продовжити комплекс робіт,  спрямованих на розв’язання актуальних проблем соціально-економічного розвитку територіальної громади  у галузях освіти, охорони здоров’я, житлово-комунального господарства  та  регіонального розвитку,  а також забезпечити погашення  місцевого  боргу згідно запропонованого графіку погашень.</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Основним фінансовим джерелом реалізації   проєктів бюджету розвитку у   2022 – </w:t>
      </w:r>
      <w:proofErr w:type="gramStart"/>
      <w:r w:rsidRPr="00F769E7">
        <w:rPr>
          <w:rFonts w:ascii="Times New Roman" w:hAnsi="Times New Roman" w:cs="Times New Roman"/>
          <w:color w:val="000000"/>
          <w:sz w:val="28"/>
          <w:szCs w:val="28"/>
        </w:rPr>
        <w:t>2024  роках</w:t>
      </w:r>
      <w:proofErr w:type="gramEnd"/>
      <w:r w:rsidRPr="00F769E7">
        <w:rPr>
          <w:rFonts w:ascii="Times New Roman" w:hAnsi="Times New Roman" w:cs="Times New Roman"/>
          <w:color w:val="000000"/>
          <w:sz w:val="28"/>
          <w:szCs w:val="28"/>
        </w:rPr>
        <w:t xml:space="preserve">   залишається   передача   коштів  загального  фонду   до  спеціального фонду бюджету Лубенської міської територіальної громади.</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lastRenderedPageBreak/>
        <w:t xml:space="preserve">             Головними розпорядниками коштів прогнозується у середньостроковій перспективі виконання таких об'єктів:</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будівництво нового ДНЗ в мікрорайоні «Василенкове поле»;</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реконструкція Лубенської лікарні інтенсивного лікування;</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реконструкція стадіону «Центральний»;</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реконструкція системи водопостачання та </w:t>
      </w:r>
      <w:proofErr w:type="gramStart"/>
      <w:r w:rsidRPr="00F769E7">
        <w:rPr>
          <w:rFonts w:ascii="Times New Roman" w:hAnsi="Times New Roman" w:cs="Times New Roman"/>
          <w:color w:val="000000"/>
          <w:sz w:val="28"/>
          <w:szCs w:val="28"/>
        </w:rPr>
        <w:t>водовідведення,  в</w:t>
      </w:r>
      <w:proofErr w:type="gramEnd"/>
      <w:r w:rsidRPr="00F769E7">
        <w:rPr>
          <w:rFonts w:ascii="Times New Roman" w:hAnsi="Times New Roman" w:cs="Times New Roman"/>
          <w:color w:val="000000"/>
          <w:sz w:val="28"/>
          <w:szCs w:val="28"/>
        </w:rPr>
        <w:t xml:space="preserve">  тому  числі  із застосуванням сонячних батарей ;</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реконструкція парку «Молодіжний»;</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капітальні ремонти сільських ФАПів;</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реконструкція пляжу «Водокачка»;</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реконструкція очисних споруд с. Солониця;</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капітальний ремонт доріг;</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капітальний ремонт скважин, водогону по селах територіальної громади;</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створення заповідних зон;</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будівництво спортивного майданчика НВК №9,</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та інші капітальні видатки по бюджетним установам територіальної громади.</w:t>
      </w:r>
    </w:p>
    <w:p w:rsidR="002E0952" w:rsidRPr="00F769E7" w:rsidRDefault="002E0952" w:rsidP="002E0952">
      <w:pPr>
        <w:autoSpaceDE w:val="0"/>
        <w:autoSpaceDN w:val="0"/>
        <w:adjustRightInd w:val="0"/>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VIІI. Взаємовідносини бюджету Лубенської міської територіальної громади  з іншими бюджетами</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b/>
          <w:bCs/>
          <w:color w:val="000000"/>
          <w:sz w:val="28"/>
          <w:szCs w:val="28"/>
        </w:rPr>
        <w:t xml:space="preserve">           </w:t>
      </w:r>
      <w:r w:rsidRPr="00F769E7">
        <w:rPr>
          <w:rFonts w:ascii="Times New Roman" w:hAnsi="Times New Roman" w:cs="Times New Roman"/>
          <w:color w:val="000000"/>
          <w:sz w:val="28"/>
          <w:szCs w:val="28"/>
        </w:rPr>
        <w:t>Обсяги    міжбюджетних    трансфертів   з   державного бюджету   для бюджету   Лубенської   міської   територіальної громади   на   2022-2024 роки</w:t>
      </w:r>
      <w:proofErr w:type="gramStart"/>
      <w:r w:rsidRPr="00F769E7">
        <w:rPr>
          <w:rFonts w:ascii="Times New Roman" w:hAnsi="Times New Roman" w:cs="Times New Roman"/>
          <w:color w:val="000000"/>
          <w:sz w:val="28"/>
          <w:szCs w:val="28"/>
        </w:rPr>
        <w:t xml:space="preserve">   (</w:t>
      </w:r>
      <w:proofErr w:type="gramEnd"/>
      <w:r w:rsidRPr="00F769E7">
        <w:rPr>
          <w:rFonts w:ascii="Times New Roman" w:hAnsi="Times New Roman" w:cs="Times New Roman"/>
          <w:color w:val="000000"/>
          <w:sz w:val="28"/>
          <w:szCs w:val="28"/>
        </w:rPr>
        <w:t xml:space="preserve">освітня субвенція та базова дотація)  передбачаються на підставі Бюджетної декларації,   прийнятої   Верховною  Радою  України   15 липня   2021 року (додаток 11).  </w:t>
      </w:r>
    </w:p>
    <w:p w:rsidR="002E0952" w:rsidRPr="00F769E7" w:rsidRDefault="002E0952" w:rsidP="002E0952">
      <w:pPr>
        <w:autoSpaceDE w:val="0"/>
        <w:autoSpaceDN w:val="0"/>
        <w:adjustRightInd w:val="0"/>
        <w:ind w:firstLine="705"/>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Горизонтальне вирівнювання податкоспроможності місцевих бюджетів здійснюватиметься відповідно до положень статей 98-100, пункту 24</w:t>
      </w:r>
      <w:r w:rsidRPr="00F769E7">
        <w:rPr>
          <w:rFonts w:ascii="Times New Roman" w:hAnsi="Times New Roman" w:cs="Times New Roman"/>
          <w:color w:val="000000"/>
          <w:sz w:val="28"/>
          <w:szCs w:val="28"/>
          <w:vertAlign w:val="superscript"/>
        </w:rPr>
        <w:t>2</w:t>
      </w:r>
      <w:r w:rsidRPr="00F769E7">
        <w:rPr>
          <w:rFonts w:ascii="Times New Roman" w:hAnsi="Times New Roman" w:cs="Times New Roman"/>
          <w:color w:val="000000"/>
          <w:sz w:val="28"/>
          <w:szCs w:val="28"/>
        </w:rPr>
        <w:t xml:space="preserve"> розділу </w:t>
      </w:r>
      <w:proofErr w:type="gramStart"/>
      <w:r w:rsidRPr="00F769E7">
        <w:rPr>
          <w:rFonts w:ascii="Times New Roman" w:hAnsi="Times New Roman" w:cs="Times New Roman"/>
          <w:color w:val="000000"/>
          <w:sz w:val="28"/>
          <w:szCs w:val="28"/>
        </w:rPr>
        <w:t>VI  «</w:t>
      </w:r>
      <w:proofErr w:type="gramEnd"/>
      <w:r w:rsidRPr="00F769E7">
        <w:rPr>
          <w:rFonts w:ascii="Times New Roman" w:hAnsi="Times New Roman" w:cs="Times New Roman"/>
          <w:color w:val="000000"/>
          <w:sz w:val="28"/>
          <w:szCs w:val="28"/>
        </w:rPr>
        <w:t>Прикінцеві та перехідні положення» Бюджетного кодексу України, а саме для:</w:t>
      </w:r>
    </w:p>
    <w:p w:rsidR="002E0952" w:rsidRPr="00F769E7" w:rsidRDefault="002E0952" w:rsidP="002E0952">
      <w:pPr>
        <w:pStyle w:val="ab"/>
        <w:numPr>
          <w:ilvl w:val="0"/>
          <w:numId w:val="2"/>
        </w:numPr>
        <w:autoSpaceDE w:val="0"/>
        <w:autoSpaceDN w:val="0"/>
        <w:adjustRightInd w:val="0"/>
        <w:spacing w:after="0" w:line="240" w:lineRule="auto"/>
        <w:rPr>
          <w:rFonts w:ascii="Times New Roman" w:hAnsi="Times New Roman" w:cs="Times New Roman"/>
          <w:color w:val="000000"/>
          <w:sz w:val="28"/>
          <w:szCs w:val="28"/>
        </w:rPr>
      </w:pPr>
      <w:r w:rsidRPr="00F769E7">
        <w:rPr>
          <w:rFonts w:ascii="Times New Roman" w:hAnsi="Times New Roman" w:cs="Times New Roman"/>
          <w:color w:val="000000"/>
          <w:sz w:val="28"/>
          <w:szCs w:val="28"/>
        </w:rPr>
        <w:t>24 обласних бюджетів;</w:t>
      </w:r>
    </w:p>
    <w:p w:rsidR="002E0952" w:rsidRPr="00F769E7" w:rsidRDefault="002E0952" w:rsidP="002E0952">
      <w:pPr>
        <w:pStyle w:val="ab"/>
        <w:numPr>
          <w:ilvl w:val="0"/>
          <w:numId w:val="2"/>
        </w:numPr>
        <w:autoSpaceDE w:val="0"/>
        <w:autoSpaceDN w:val="0"/>
        <w:adjustRightInd w:val="0"/>
        <w:spacing w:after="0" w:line="240" w:lineRule="auto"/>
        <w:rPr>
          <w:rFonts w:ascii="Times New Roman" w:hAnsi="Times New Roman" w:cs="Times New Roman"/>
          <w:color w:val="000000"/>
          <w:sz w:val="28"/>
          <w:szCs w:val="28"/>
        </w:rPr>
      </w:pPr>
      <w:r w:rsidRPr="00F769E7">
        <w:rPr>
          <w:rFonts w:ascii="Times New Roman" w:hAnsi="Times New Roman" w:cs="Times New Roman"/>
          <w:color w:val="000000"/>
          <w:sz w:val="28"/>
          <w:szCs w:val="28"/>
        </w:rPr>
        <w:t>1 438 бюджетів територіальних громад.</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lastRenderedPageBreak/>
        <w:t xml:space="preserve">           Міжбюджетні    трансферти     мають     цільове       спрямування, використовуються  відповідно  до  порядків  їх  використання.  </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Темпи зростання обсягів базової дотації з державного бюджету становлять на 2022 рік </w:t>
      </w:r>
      <w:proofErr w:type="gramStart"/>
      <w:r w:rsidRPr="00F769E7">
        <w:rPr>
          <w:rFonts w:ascii="Times New Roman" w:hAnsi="Times New Roman" w:cs="Times New Roman"/>
          <w:color w:val="000000"/>
          <w:sz w:val="28"/>
          <w:szCs w:val="28"/>
        </w:rPr>
        <w:t>до плану</w:t>
      </w:r>
      <w:proofErr w:type="gramEnd"/>
      <w:r w:rsidRPr="00F769E7">
        <w:rPr>
          <w:rFonts w:ascii="Times New Roman" w:hAnsi="Times New Roman" w:cs="Times New Roman"/>
          <w:color w:val="000000"/>
          <w:sz w:val="28"/>
          <w:szCs w:val="28"/>
        </w:rPr>
        <w:t xml:space="preserve"> 2021 року – 93,1%, на 2023 рік до проєкту 2022 року – 118,0 %, на 2024 рік до проєкту 2023 року – 118,1 %.</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w:t>
      </w:r>
      <w:proofErr w:type="gramStart"/>
      <w:r w:rsidRPr="00F769E7">
        <w:rPr>
          <w:rFonts w:ascii="Times New Roman" w:hAnsi="Times New Roman" w:cs="Times New Roman"/>
          <w:color w:val="000000"/>
          <w:sz w:val="28"/>
          <w:szCs w:val="28"/>
        </w:rPr>
        <w:t>Найбільшу  питому</w:t>
      </w:r>
      <w:proofErr w:type="gramEnd"/>
      <w:r w:rsidRPr="00F769E7">
        <w:rPr>
          <w:rFonts w:ascii="Times New Roman" w:hAnsi="Times New Roman" w:cs="Times New Roman"/>
          <w:color w:val="000000"/>
          <w:sz w:val="28"/>
          <w:szCs w:val="28"/>
        </w:rPr>
        <w:t xml:space="preserve"> вагу у обсязі  міжбюджетних  трансфертів займає освітня субвенція  з державного бюджету.</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Темпи зростання обсягів освітньої субвенції з державного бюджету становлять на 2022 рік </w:t>
      </w:r>
      <w:proofErr w:type="gramStart"/>
      <w:r w:rsidRPr="00F769E7">
        <w:rPr>
          <w:rFonts w:ascii="Times New Roman" w:hAnsi="Times New Roman" w:cs="Times New Roman"/>
          <w:color w:val="000000"/>
          <w:sz w:val="28"/>
          <w:szCs w:val="28"/>
        </w:rPr>
        <w:t>до плану</w:t>
      </w:r>
      <w:proofErr w:type="gramEnd"/>
      <w:r w:rsidRPr="00F769E7">
        <w:rPr>
          <w:rFonts w:ascii="Times New Roman" w:hAnsi="Times New Roman" w:cs="Times New Roman"/>
          <w:color w:val="000000"/>
          <w:sz w:val="28"/>
          <w:szCs w:val="28"/>
        </w:rPr>
        <w:t xml:space="preserve"> 2021 року – 109,1%, на 2023 рік до проєкту 2022 року – 109,5 %, на 2024 рік до проєкту 2023 року – 106,8 %.</w:t>
      </w:r>
    </w:p>
    <w:p w:rsidR="002E0952" w:rsidRPr="00F769E7" w:rsidRDefault="002E0952" w:rsidP="002E0952">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noProof/>
          <w:color w:val="000000"/>
          <w:sz w:val="28"/>
          <w:szCs w:val="28"/>
          <w:lang w:val="en-US"/>
        </w:rPr>
        <w:drawing>
          <wp:inline distT="0" distB="0" distL="0" distR="0">
            <wp:extent cx="5943600" cy="4457700"/>
            <wp:effectExtent l="0" t="0" r="0" b="0"/>
            <wp:docPr id="8"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E0952" w:rsidRPr="00F769E7" w:rsidRDefault="002E0952" w:rsidP="002E0952">
      <w:pPr>
        <w:autoSpaceDE w:val="0"/>
        <w:autoSpaceDN w:val="0"/>
        <w:adjustRightInd w:val="0"/>
        <w:spacing w:after="0" w:line="360" w:lineRule="auto"/>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Крім цього, прогнозується передача з бюджету Новооржицької громади на утримання архіву: 2022р. – 62 600 грн., 2023р. – 68 620грн., 2024 р. – 75 170 грн.</w:t>
      </w:r>
    </w:p>
    <w:p w:rsidR="002E0952" w:rsidRPr="00F769E7" w:rsidRDefault="002E0952" w:rsidP="002E0952">
      <w:pPr>
        <w:autoSpaceDE w:val="0"/>
        <w:autoSpaceDN w:val="0"/>
        <w:adjustRightInd w:val="0"/>
        <w:spacing w:after="0" w:line="360" w:lineRule="auto"/>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З бюджету Ромоданівської громади також на утримання архіву: 2022р.– 62 600 грн., 2023р. – 68620 грн., 2024р. – 68 620 грн.</w:t>
      </w:r>
    </w:p>
    <w:p w:rsidR="002E0952" w:rsidRPr="00F769E7" w:rsidRDefault="002E0952" w:rsidP="002E0952">
      <w:pPr>
        <w:autoSpaceDE w:val="0"/>
        <w:autoSpaceDN w:val="0"/>
        <w:adjustRightInd w:val="0"/>
        <w:spacing w:after="0" w:line="360" w:lineRule="auto"/>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lastRenderedPageBreak/>
        <w:t xml:space="preserve">          З бюджету Хорольської громади на реабілітацію дітей з інвалідністю: 2022р – 132 000 грн., 2023р. – 138 600 грн., 2024р. – 145 600 грн.</w:t>
      </w:r>
    </w:p>
    <w:p w:rsidR="002E0952" w:rsidRPr="00F769E7" w:rsidRDefault="002E0952" w:rsidP="002E0952">
      <w:pPr>
        <w:autoSpaceDE w:val="0"/>
        <w:autoSpaceDN w:val="0"/>
        <w:adjustRightInd w:val="0"/>
        <w:spacing w:after="0" w:line="360" w:lineRule="auto"/>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З бюджету Чорнухинської громади також на обслуговування дітей з інвалідністю: 2022р. -70 888 грн.</w:t>
      </w:r>
      <w:proofErr w:type="gramStart"/>
      <w:r w:rsidRPr="00F769E7">
        <w:rPr>
          <w:rFonts w:ascii="Times New Roman" w:hAnsi="Times New Roman" w:cs="Times New Roman"/>
          <w:color w:val="000000"/>
          <w:sz w:val="28"/>
          <w:szCs w:val="28"/>
        </w:rPr>
        <w:t>,  2023</w:t>
      </w:r>
      <w:proofErr w:type="gramEnd"/>
      <w:r w:rsidRPr="00F769E7">
        <w:rPr>
          <w:rFonts w:ascii="Times New Roman" w:hAnsi="Times New Roman" w:cs="Times New Roman"/>
          <w:color w:val="000000"/>
          <w:sz w:val="28"/>
          <w:szCs w:val="28"/>
        </w:rPr>
        <w:t xml:space="preserve">р. – 77 980 грн.,  2024р – 85 778 грн. </w:t>
      </w:r>
    </w:p>
    <w:p w:rsidR="002E0952" w:rsidRPr="00F769E7" w:rsidRDefault="002E0952" w:rsidP="002E0952">
      <w:pPr>
        <w:autoSpaceDE w:val="0"/>
        <w:autoSpaceDN w:val="0"/>
        <w:adjustRightInd w:val="0"/>
        <w:spacing w:after="0" w:line="360" w:lineRule="auto"/>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До інших бюджетів різного рівня передача трансфертів в даний час не прогнозується.</w:t>
      </w:r>
    </w:p>
    <w:p w:rsidR="002E0952" w:rsidRPr="00F769E7" w:rsidRDefault="002E0952" w:rsidP="002E0952">
      <w:pPr>
        <w:autoSpaceDE w:val="0"/>
        <w:autoSpaceDN w:val="0"/>
        <w:adjustRightInd w:val="0"/>
        <w:spacing w:after="0" w:line="240" w:lineRule="auto"/>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Прогнозні показники міжбюджетних трансфертів по бюджету</w:t>
      </w:r>
    </w:p>
    <w:p w:rsidR="002E0952" w:rsidRPr="00F769E7" w:rsidRDefault="002E0952" w:rsidP="002E0952">
      <w:pPr>
        <w:autoSpaceDE w:val="0"/>
        <w:autoSpaceDN w:val="0"/>
        <w:adjustRightInd w:val="0"/>
        <w:spacing w:after="0" w:line="240" w:lineRule="auto"/>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 xml:space="preserve">                        Лубенської міської територіальної громади</w:t>
      </w:r>
    </w:p>
    <w:p w:rsidR="002E0952" w:rsidRPr="00F769E7" w:rsidRDefault="002E0952" w:rsidP="002E0952">
      <w:pPr>
        <w:autoSpaceDE w:val="0"/>
        <w:autoSpaceDN w:val="0"/>
        <w:adjustRightInd w:val="0"/>
        <w:spacing w:after="0" w:line="240" w:lineRule="auto"/>
        <w:jc w:val="center"/>
        <w:rPr>
          <w:rFonts w:ascii="Times New Roman" w:hAnsi="Times New Roman" w:cs="Times New Roman"/>
          <w:b/>
          <w:bCs/>
          <w:color w:val="000000"/>
          <w:sz w:val="28"/>
          <w:szCs w:val="28"/>
        </w:rPr>
      </w:pPr>
      <w:r w:rsidRPr="00F769E7">
        <w:rPr>
          <w:rFonts w:ascii="Times New Roman" w:hAnsi="Times New Roman" w:cs="Times New Roman"/>
          <w:b/>
          <w:bCs/>
          <w:color w:val="000000"/>
          <w:sz w:val="28"/>
          <w:szCs w:val="28"/>
        </w:rPr>
        <w:t>на 2022-2024 роки</w:t>
      </w:r>
    </w:p>
    <w:p w:rsidR="002E0952" w:rsidRPr="00F769E7" w:rsidRDefault="002E0952" w:rsidP="002E0952">
      <w:pPr>
        <w:autoSpaceDE w:val="0"/>
        <w:autoSpaceDN w:val="0"/>
        <w:adjustRightInd w:val="0"/>
        <w:spacing w:after="0"/>
        <w:jc w:val="center"/>
        <w:rPr>
          <w:rFonts w:ascii="Times New Roman" w:hAnsi="Times New Roman" w:cs="Times New Roman"/>
          <w:b/>
          <w:bCs/>
          <w:color w:val="000000"/>
          <w:sz w:val="28"/>
          <w:szCs w:val="28"/>
        </w:rPr>
      </w:pPr>
    </w:p>
    <w:tbl>
      <w:tblPr>
        <w:tblStyle w:val="a4"/>
        <w:tblW w:w="8869" w:type="dxa"/>
        <w:tblLook w:val="04A0" w:firstRow="1" w:lastRow="0" w:firstColumn="1" w:lastColumn="0" w:noHBand="0" w:noVBand="1"/>
      </w:tblPr>
      <w:tblGrid>
        <w:gridCol w:w="3227"/>
        <w:gridCol w:w="142"/>
        <w:gridCol w:w="1927"/>
        <w:gridCol w:w="83"/>
        <w:gridCol w:w="1777"/>
        <w:gridCol w:w="8"/>
        <w:gridCol w:w="45"/>
        <w:gridCol w:w="1630"/>
        <w:gridCol w:w="30"/>
      </w:tblGrid>
      <w:tr w:rsidR="002E0952" w:rsidRPr="00F769E7" w:rsidTr="00965F75">
        <w:trPr>
          <w:gridAfter w:val="1"/>
          <w:wAfter w:w="30" w:type="dxa"/>
        </w:trPr>
        <w:tc>
          <w:tcPr>
            <w:tcW w:w="3227" w:type="dxa"/>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jc w:val="both"/>
              <w:rPr>
                <w:rFonts w:ascii="Times New Roman" w:hAnsi="Times New Roman" w:cs="Times New Roman"/>
                <w:bCs/>
                <w:color w:val="000000"/>
                <w:sz w:val="28"/>
                <w:szCs w:val="28"/>
              </w:rPr>
            </w:pPr>
            <w:r w:rsidRPr="00F769E7">
              <w:rPr>
                <w:rFonts w:ascii="Times New Roman" w:hAnsi="Times New Roman" w:cs="Times New Roman"/>
                <w:bCs/>
                <w:color w:val="000000"/>
                <w:sz w:val="28"/>
                <w:szCs w:val="28"/>
              </w:rPr>
              <w:t>Прогнозні показники</w:t>
            </w:r>
          </w:p>
        </w:tc>
        <w:tc>
          <w:tcPr>
            <w:tcW w:w="2069"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jc w:val="center"/>
              <w:rPr>
                <w:rFonts w:ascii="Times New Roman" w:hAnsi="Times New Roman" w:cs="Times New Roman"/>
                <w:b/>
                <w:bCs/>
                <w:color w:val="000000"/>
                <w:sz w:val="28"/>
                <w:szCs w:val="28"/>
              </w:rPr>
            </w:pPr>
            <w:r w:rsidRPr="00F769E7">
              <w:rPr>
                <w:rFonts w:ascii="Times New Roman" w:hAnsi="Times New Roman" w:cs="Times New Roman"/>
                <w:color w:val="000000"/>
                <w:sz w:val="28"/>
                <w:szCs w:val="28"/>
              </w:rPr>
              <w:t>2022 рік</w:t>
            </w:r>
          </w:p>
        </w:tc>
        <w:tc>
          <w:tcPr>
            <w:tcW w:w="1860"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jc w:val="center"/>
              <w:rPr>
                <w:rFonts w:ascii="Times New Roman" w:hAnsi="Times New Roman" w:cs="Times New Roman"/>
                <w:b/>
                <w:bCs/>
                <w:color w:val="000000"/>
                <w:sz w:val="28"/>
                <w:szCs w:val="28"/>
              </w:rPr>
            </w:pPr>
            <w:r w:rsidRPr="00F769E7">
              <w:rPr>
                <w:rFonts w:ascii="Times New Roman" w:hAnsi="Times New Roman" w:cs="Times New Roman"/>
                <w:color w:val="000000"/>
                <w:sz w:val="28"/>
                <w:szCs w:val="28"/>
              </w:rPr>
              <w:t>2023 рік</w:t>
            </w:r>
          </w:p>
        </w:tc>
        <w:tc>
          <w:tcPr>
            <w:tcW w:w="1683" w:type="dxa"/>
            <w:gridSpan w:val="3"/>
            <w:tcBorders>
              <w:top w:val="single" w:sz="4" w:space="0" w:color="auto"/>
              <w:left w:val="single" w:sz="4" w:space="0" w:color="auto"/>
              <w:bottom w:val="single" w:sz="4" w:space="0" w:color="auto"/>
              <w:right w:val="single" w:sz="4" w:space="0" w:color="auto"/>
            </w:tcBorders>
          </w:tcPr>
          <w:p w:rsidR="002E0952" w:rsidRPr="00F769E7" w:rsidRDefault="002E0952" w:rsidP="00965F75">
            <w:pPr>
              <w:autoSpaceDE w:val="0"/>
              <w:autoSpaceDN w:val="0"/>
              <w:adjustRightInd w:val="0"/>
              <w:jc w:val="center"/>
              <w:rPr>
                <w:rFonts w:ascii="Times New Roman" w:hAnsi="Times New Roman" w:cs="Times New Roman"/>
                <w:color w:val="000000"/>
                <w:sz w:val="28"/>
                <w:szCs w:val="28"/>
              </w:rPr>
            </w:pPr>
            <w:r w:rsidRPr="00F769E7">
              <w:rPr>
                <w:rFonts w:ascii="Times New Roman" w:hAnsi="Times New Roman" w:cs="Times New Roman"/>
                <w:color w:val="000000"/>
                <w:sz w:val="28"/>
                <w:szCs w:val="28"/>
              </w:rPr>
              <w:t>2024 рік</w:t>
            </w:r>
          </w:p>
          <w:p w:rsidR="002E0952" w:rsidRPr="00F769E7" w:rsidRDefault="002E0952" w:rsidP="00965F75">
            <w:pPr>
              <w:autoSpaceDE w:val="0"/>
              <w:autoSpaceDN w:val="0"/>
              <w:adjustRightInd w:val="0"/>
              <w:jc w:val="center"/>
              <w:rPr>
                <w:rFonts w:ascii="Times New Roman" w:hAnsi="Times New Roman" w:cs="Times New Roman"/>
                <w:b/>
                <w:bCs/>
                <w:color w:val="000000"/>
                <w:sz w:val="28"/>
                <w:szCs w:val="28"/>
              </w:rPr>
            </w:pPr>
          </w:p>
        </w:tc>
      </w:tr>
      <w:tr w:rsidR="002E0952" w:rsidRPr="00F769E7" w:rsidTr="00965F75">
        <w:trPr>
          <w:gridAfter w:val="1"/>
          <w:wAfter w:w="30" w:type="dxa"/>
        </w:trPr>
        <w:tc>
          <w:tcPr>
            <w:tcW w:w="8839" w:type="dxa"/>
            <w:gridSpan w:val="8"/>
            <w:tcBorders>
              <w:top w:val="single" w:sz="4" w:space="0" w:color="auto"/>
              <w:left w:val="single" w:sz="4" w:space="0" w:color="auto"/>
              <w:bottom w:val="single" w:sz="4" w:space="0" w:color="auto"/>
              <w:right w:val="single" w:sz="4" w:space="0" w:color="auto"/>
            </w:tcBorders>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Міжбюджетні трансферти, які надходять з державного бюджету</w:t>
            </w:r>
          </w:p>
          <w:p w:rsidR="002E0952" w:rsidRPr="00F769E7" w:rsidRDefault="002E0952" w:rsidP="00965F75">
            <w:pPr>
              <w:autoSpaceDE w:val="0"/>
              <w:autoSpaceDN w:val="0"/>
              <w:adjustRightInd w:val="0"/>
              <w:rPr>
                <w:rFonts w:ascii="Times New Roman" w:hAnsi="Times New Roman" w:cs="Times New Roman"/>
                <w:color w:val="000000"/>
                <w:sz w:val="28"/>
                <w:szCs w:val="28"/>
              </w:rPr>
            </w:pPr>
          </w:p>
        </w:tc>
      </w:tr>
      <w:tr w:rsidR="002E0952" w:rsidRPr="00F769E7" w:rsidTr="00965F75">
        <w:tc>
          <w:tcPr>
            <w:tcW w:w="3369"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Базова дотація</w:t>
            </w:r>
          </w:p>
        </w:tc>
        <w:tc>
          <w:tcPr>
            <w:tcW w:w="2010"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10 641 900</w:t>
            </w:r>
          </w:p>
        </w:tc>
        <w:tc>
          <w:tcPr>
            <w:tcW w:w="1830" w:type="dxa"/>
            <w:gridSpan w:val="3"/>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12 556 900</w:t>
            </w:r>
          </w:p>
        </w:tc>
        <w:tc>
          <w:tcPr>
            <w:tcW w:w="1660"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14 824 400</w:t>
            </w:r>
          </w:p>
        </w:tc>
      </w:tr>
      <w:tr w:rsidR="002E0952" w:rsidRPr="00F769E7" w:rsidTr="00965F75">
        <w:tc>
          <w:tcPr>
            <w:tcW w:w="3369"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Освітня субвенція </w:t>
            </w:r>
          </w:p>
        </w:tc>
        <w:tc>
          <w:tcPr>
            <w:tcW w:w="2010"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145 945 400</w:t>
            </w:r>
          </w:p>
        </w:tc>
        <w:tc>
          <w:tcPr>
            <w:tcW w:w="1830" w:type="dxa"/>
            <w:gridSpan w:val="3"/>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159 845 900</w:t>
            </w:r>
          </w:p>
        </w:tc>
        <w:tc>
          <w:tcPr>
            <w:tcW w:w="1660"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170 753 700</w:t>
            </w:r>
          </w:p>
        </w:tc>
      </w:tr>
      <w:tr w:rsidR="002E0952" w:rsidRPr="00F769E7" w:rsidTr="00965F75">
        <w:trPr>
          <w:gridAfter w:val="1"/>
          <w:wAfter w:w="30" w:type="dxa"/>
        </w:trPr>
        <w:tc>
          <w:tcPr>
            <w:tcW w:w="8839" w:type="dxa"/>
            <w:gridSpan w:val="8"/>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Міжбюджетні трансферти з інших місцевих бюджетів </w:t>
            </w:r>
          </w:p>
        </w:tc>
      </w:tr>
      <w:tr w:rsidR="002E0952" w:rsidRPr="00F769E7" w:rsidTr="00965F75">
        <w:trPr>
          <w:gridAfter w:val="1"/>
          <w:wAfter w:w="30" w:type="dxa"/>
        </w:trPr>
        <w:tc>
          <w:tcPr>
            <w:tcW w:w="3369"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w:t>
            </w:r>
          </w:p>
        </w:tc>
        <w:tc>
          <w:tcPr>
            <w:tcW w:w="2010"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202 888</w:t>
            </w:r>
          </w:p>
        </w:tc>
        <w:tc>
          <w:tcPr>
            <w:tcW w:w="1785"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218 580</w:t>
            </w:r>
          </w:p>
        </w:tc>
        <w:tc>
          <w:tcPr>
            <w:tcW w:w="1675"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231 378</w:t>
            </w:r>
          </w:p>
        </w:tc>
      </w:tr>
      <w:tr w:rsidR="002E0952" w:rsidRPr="00F769E7" w:rsidTr="00965F75">
        <w:trPr>
          <w:gridAfter w:val="1"/>
          <w:wAfter w:w="30" w:type="dxa"/>
        </w:trPr>
        <w:tc>
          <w:tcPr>
            <w:tcW w:w="3369"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Інша субвенція</w:t>
            </w:r>
          </w:p>
        </w:tc>
        <w:tc>
          <w:tcPr>
            <w:tcW w:w="2010"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125 200</w:t>
            </w:r>
          </w:p>
        </w:tc>
        <w:tc>
          <w:tcPr>
            <w:tcW w:w="1785"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137 240</w:t>
            </w:r>
          </w:p>
        </w:tc>
        <w:tc>
          <w:tcPr>
            <w:tcW w:w="1675"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150 340</w:t>
            </w:r>
          </w:p>
        </w:tc>
      </w:tr>
      <w:tr w:rsidR="002E0952" w:rsidRPr="00F769E7" w:rsidTr="00965F75">
        <w:trPr>
          <w:gridAfter w:val="1"/>
          <w:wAfter w:w="30" w:type="dxa"/>
        </w:trPr>
        <w:tc>
          <w:tcPr>
            <w:tcW w:w="8839" w:type="dxa"/>
            <w:gridSpan w:val="8"/>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rPr>
                <w:rFonts w:ascii="Times New Roman" w:hAnsi="Times New Roman" w:cs="Times New Roman"/>
                <w:color w:val="000000"/>
                <w:sz w:val="28"/>
                <w:szCs w:val="28"/>
              </w:rPr>
            </w:pPr>
            <w:r w:rsidRPr="00F769E7">
              <w:rPr>
                <w:rFonts w:ascii="Times New Roman" w:hAnsi="Times New Roman" w:cs="Times New Roman"/>
                <w:color w:val="000000"/>
                <w:sz w:val="28"/>
                <w:szCs w:val="28"/>
              </w:rPr>
              <w:t>Міжбюджетні трансферти, що передаються до інших  бюджетів</w:t>
            </w:r>
          </w:p>
        </w:tc>
      </w:tr>
      <w:tr w:rsidR="002E0952" w:rsidRPr="00F769E7" w:rsidTr="00965F75">
        <w:trPr>
          <w:gridAfter w:val="1"/>
          <w:wAfter w:w="30" w:type="dxa"/>
        </w:trPr>
        <w:tc>
          <w:tcPr>
            <w:tcW w:w="3369"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ind w:right="-108"/>
              <w:rPr>
                <w:rFonts w:ascii="Times New Roman" w:hAnsi="Times New Roman" w:cs="Times New Roman"/>
                <w:color w:val="000000"/>
                <w:sz w:val="28"/>
                <w:szCs w:val="28"/>
              </w:rPr>
            </w:pPr>
          </w:p>
        </w:tc>
        <w:tc>
          <w:tcPr>
            <w:tcW w:w="2010"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jc w:val="center"/>
              <w:rPr>
                <w:rFonts w:ascii="Times New Roman" w:hAnsi="Times New Roman" w:cs="Times New Roman"/>
                <w:color w:val="000000"/>
                <w:sz w:val="28"/>
                <w:szCs w:val="28"/>
              </w:rPr>
            </w:pPr>
            <w:r w:rsidRPr="00F769E7">
              <w:rPr>
                <w:rFonts w:ascii="Times New Roman" w:hAnsi="Times New Roman" w:cs="Times New Roman"/>
                <w:color w:val="000000"/>
                <w:sz w:val="28"/>
                <w:szCs w:val="28"/>
              </w:rPr>
              <w:t>-</w:t>
            </w:r>
          </w:p>
        </w:tc>
        <w:tc>
          <w:tcPr>
            <w:tcW w:w="1785"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jc w:val="center"/>
              <w:rPr>
                <w:rFonts w:ascii="Times New Roman" w:hAnsi="Times New Roman" w:cs="Times New Roman"/>
                <w:color w:val="000000"/>
                <w:sz w:val="28"/>
                <w:szCs w:val="28"/>
              </w:rPr>
            </w:pPr>
            <w:r w:rsidRPr="00F769E7">
              <w:rPr>
                <w:rFonts w:ascii="Times New Roman" w:hAnsi="Times New Roman" w:cs="Times New Roman"/>
                <w:color w:val="000000"/>
                <w:sz w:val="28"/>
                <w:szCs w:val="28"/>
              </w:rPr>
              <w:t>-</w:t>
            </w:r>
          </w:p>
        </w:tc>
        <w:tc>
          <w:tcPr>
            <w:tcW w:w="1675" w:type="dxa"/>
            <w:gridSpan w:val="2"/>
            <w:tcBorders>
              <w:top w:val="single" w:sz="4" w:space="0" w:color="auto"/>
              <w:left w:val="single" w:sz="4" w:space="0" w:color="auto"/>
              <w:bottom w:val="single" w:sz="4" w:space="0" w:color="auto"/>
              <w:right w:val="single" w:sz="4" w:space="0" w:color="auto"/>
            </w:tcBorders>
            <w:hideMark/>
          </w:tcPr>
          <w:p w:rsidR="002E0952" w:rsidRPr="00F769E7" w:rsidRDefault="002E0952" w:rsidP="00965F75">
            <w:pPr>
              <w:autoSpaceDE w:val="0"/>
              <w:autoSpaceDN w:val="0"/>
              <w:adjustRightInd w:val="0"/>
              <w:jc w:val="center"/>
              <w:rPr>
                <w:rFonts w:ascii="Times New Roman" w:hAnsi="Times New Roman" w:cs="Times New Roman"/>
                <w:color w:val="000000"/>
                <w:sz w:val="28"/>
                <w:szCs w:val="28"/>
              </w:rPr>
            </w:pPr>
            <w:r w:rsidRPr="00F769E7">
              <w:rPr>
                <w:rFonts w:ascii="Times New Roman" w:hAnsi="Times New Roman" w:cs="Times New Roman"/>
                <w:color w:val="000000"/>
                <w:sz w:val="28"/>
                <w:szCs w:val="28"/>
              </w:rPr>
              <w:t>-</w:t>
            </w:r>
          </w:p>
        </w:tc>
      </w:tr>
    </w:tbl>
    <w:p w:rsidR="002E0952" w:rsidRDefault="002E0952" w:rsidP="002E0952">
      <w:pPr>
        <w:autoSpaceDE w:val="0"/>
        <w:autoSpaceDN w:val="0"/>
        <w:adjustRightInd w:val="0"/>
        <w:spacing w:after="0"/>
        <w:jc w:val="center"/>
        <w:rPr>
          <w:rFonts w:ascii="Times New Roman" w:hAnsi="Times New Roman" w:cs="Times New Roman"/>
          <w:b/>
          <w:bCs/>
          <w:color w:val="000000"/>
          <w:sz w:val="28"/>
          <w:szCs w:val="28"/>
          <w:lang w:val="uk-UA"/>
        </w:rPr>
      </w:pPr>
    </w:p>
    <w:p w:rsidR="002E0952" w:rsidRDefault="002E0952" w:rsidP="002E0952">
      <w:pPr>
        <w:autoSpaceDE w:val="0"/>
        <w:autoSpaceDN w:val="0"/>
        <w:adjustRightInd w:val="0"/>
        <w:spacing w:after="0"/>
        <w:jc w:val="center"/>
        <w:rPr>
          <w:rFonts w:ascii="Times New Roman" w:hAnsi="Times New Roman" w:cs="Times New Roman"/>
          <w:b/>
          <w:bCs/>
          <w:color w:val="000000"/>
          <w:sz w:val="28"/>
          <w:szCs w:val="28"/>
          <w:lang w:val="uk-UA"/>
        </w:rPr>
      </w:pPr>
      <w:r w:rsidRPr="00F769E7">
        <w:rPr>
          <w:rFonts w:ascii="Times New Roman" w:hAnsi="Times New Roman" w:cs="Times New Roman"/>
          <w:b/>
          <w:bCs/>
          <w:color w:val="000000"/>
          <w:sz w:val="28"/>
          <w:szCs w:val="28"/>
        </w:rPr>
        <w:t>IX. Інші положення та показники прогнозу бюджету</w:t>
      </w:r>
    </w:p>
    <w:p w:rsidR="00F41E80" w:rsidRPr="00F41E80" w:rsidRDefault="00F41E80" w:rsidP="002E0952">
      <w:pPr>
        <w:autoSpaceDE w:val="0"/>
        <w:autoSpaceDN w:val="0"/>
        <w:adjustRightInd w:val="0"/>
        <w:spacing w:after="0"/>
        <w:jc w:val="center"/>
        <w:rPr>
          <w:rFonts w:ascii="Times New Roman" w:hAnsi="Times New Roman" w:cs="Times New Roman"/>
          <w:b/>
          <w:bCs/>
          <w:color w:val="000000"/>
          <w:sz w:val="28"/>
          <w:szCs w:val="28"/>
          <w:lang w:val="uk-UA"/>
        </w:rPr>
      </w:pPr>
    </w:p>
    <w:p w:rsidR="002E0952" w:rsidRPr="00F769E7" w:rsidRDefault="002E0952" w:rsidP="002E0952">
      <w:pPr>
        <w:autoSpaceDE w:val="0"/>
        <w:autoSpaceDN w:val="0"/>
        <w:adjustRightInd w:val="0"/>
        <w:spacing w:after="0"/>
        <w:jc w:val="both"/>
        <w:rPr>
          <w:rFonts w:ascii="Times New Roman" w:hAnsi="Times New Roman" w:cs="Times New Roman"/>
          <w:color w:val="000000"/>
          <w:sz w:val="28"/>
          <w:szCs w:val="28"/>
        </w:rPr>
      </w:pPr>
      <w:r w:rsidRPr="00F769E7">
        <w:rPr>
          <w:rFonts w:ascii="Times New Roman" w:hAnsi="Times New Roman" w:cs="Times New Roman"/>
          <w:b/>
          <w:bCs/>
          <w:color w:val="000000"/>
          <w:sz w:val="28"/>
          <w:szCs w:val="28"/>
        </w:rPr>
        <w:t xml:space="preserve">          </w:t>
      </w:r>
      <w:r w:rsidRPr="00F769E7">
        <w:rPr>
          <w:rFonts w:ascii="Times New Roman" w:hAnsi="Times New Roman" w:cs="Times New Roman"/>
          <w:color w:val="000000"/>
          <w:sz w:val="28"/>
          <w:szCs w:val="28"/>
        </w:rPr>
        <w:t xml:space="preserve"> </w:t>
      </w:r>
      <w:proofErr w:type="gramStart"/>
      <w:r w:rsidRPr="00F769E7">
        <w:rPr>
          <w:rFonts w:ascii="Times New Roman" w:hAnsi="Times New Roman" w:cs="Times New Roman"/>
          <w:color w:val="000000"/>
          <w:sz w:val="28"/>
          <w:szCs w:val="28"/>
        </w:rPr>
        <w:t>У  прогнозі</w:t>
      </w:r>
      <w:proofErr w:type="gramEnd"/>
      <w:r w:rsidRPr="00F769E7">
        <w:rPr>
          <w:rFonts w:ascii="Times New Roman" w:hAnsi="Times New Roman" w:cs="Times New Roman"/>
          <w:color w:val="000000"/>
          <w:sz w:val="28"/>
          <w:szCs w:val="28"/>
        </w:rPr>
        <w:t xml:space="preserve">  бюджету  Лубенської   міської  територіальної  громади на  2022-2024  роки  відсутня інформація для заповнення додатків 5 «Показники гарантованого  територіальною  громадою    боргу   і   надання   місцевих гарантій»,  8  «Граничні показники кредитування бюджету за Типовою програмною класифікацією видатків та кредитування місцевого бюджету»,  12 «Показники міжбюджетних трансфертів іншим бюджетам».</w:t>
      </w:r>
    </w:p>
    <w:p w:rsidR="002E0952" w:rsidRPr="00F769E7" w:rsidRDefault="002E0952" w:rsidP="002E0952">
      <w:pPr>
        <w:autoSpaceDE w:val="0"/>
        <w:autoSpaceDN w:val="0"/>
        <w:adjustRightInd w:val="0"/>
        <w:jc w:val="both"/>
        <w:rPr>
          <w:rFonts w:ascii="Times New Roman" w:hAnsi="Times New Roman" w:cs="Times New Roman"/>
          <w:color w:val="000000"/>
          <w:sz w:val="28"/>
          <w:szCs w:val="28"/>
        </w:rPr>
      </w:pPr>
      <w:r w:rsidRPr="00F769E7">
        <w:rPr>
          <w:rFonts w:ascii="Times New Roman" w:hAnsi="Times New Roman" w:cs="Times New Roman"/>
          <w:color w:val="000000"/>
          <w:sz w:val="28"/>
          <w:szCs w:val="28"/>
        </w:rPr>
        <w:t xml:space="preserve">             Показники звіту за 2020 рік в додатках містять звітні показники бюджету міста Лубни, а в наступник роках – бюджету Лубенської міської територіальної громади.</w:t>
      </w:r>
    </w:p>
    <w:p w:rsidR="002E0952" w:rsidRDefault="002E0952" w:rsidP="002E0952">
      <w:pPr>
        <w:autoSpaceDE w:val="0"/>
        <w:autoSpaceDN w:val="0"/>
        <w:adjustRightInd w:val="0"/>
        <w:jc w:val="both"/>
        <w:rPr>
          <w:rFonts w:ascii="Times New Roman" w:hAnsi="Times New Roman" w:cs="Times New Roman"/>
          <w:color w:val="000000"/>
          <w:sz w:val="28"/>
          <w:szCs w:val="28"/>
          <w:lang w:val="uk-UA"/>
        </w:rPr>
      </w:pPr>
      <w:r w:rsidRPr="00F769E7">
        <w:rPr>
          <w:rFonts w:ascii="Times New Roman" w:hAnsi="Times New Roman" w:cs="Times New Roman"/>
          <w:color w:val="000000"/>
          <w:sz w:val="28"/>
          <w:szCs w:val="28"/>
        </w:rPr>
        <w:lastRenderedPageBreak/>
        <w:t xml:space="preserve">             В   процесі   планування та виконання бюджету </w:t>
      </w:r>
      <w:proofErr w:type="gramStart"/>
      <w:r w:rsidRPr="00F769E7">
        <w:rPr>
          <w:rFonts w:ascii="Times New Roman" w:hAnsi="Times New Roman" w:cs="Times New Roman"/>
          <w:color w:val="000000"/>
          <w:sz w:val="28"/>
          <w:szCs w:val="28"/>
        </w:rPr>
        <w:t>конкретні  показники</w:t>
      </w:r>
      <w:proofErr w:type="gramEnd"/>
      <w:r w:rsidRPr="00F769E7">
        <w:rPr>
          <w:rFonts w:ascii="Times New Roman" w:hAnsi="Times New Roman" w:cs="Times New Roman"/>
          <w:color w:val="000000"/>
          <w:sz w:val="28"/>
          <w:szCs w:val="28"/>
        </w:rPr>
        <w:t xml:space="preserve">  обсягів  бюджету  Лубенської  міської територіальної громади на </w:t>
      </w:r>
      <w:r>
        <w:rPr>
          <w:rFonts w:ascii="Times New Roman" w:hAnsi="Times New Roman" w:cs="Times New Roman"/>
          <w:color w:val="000000"/>
          <w:sz w:val="28"/>
          <w:szCs w:val="28"/>
          <w:lang w:val="uk-UA"/>
        </w:rPr>
        <w:t xml:space="preserve">            </w:t>
      </w:r>
      <w:r w:rsidRPr="00F769E7">
        <w:rPr>
          <w:rFonts w:ascii="Times New Roman" w:hAnsi="Times New Roman" w:cs="Times New Roman"/>
          <w:color w:val="000000"/>
          <w:sz w:val="28"/>
          <w:szCs w:val="28"/>
        </w:rPr>
        <w:t>2022-2024 роки   будуть   постійно  уточнюватися  в  залежності від законодавчих змін у податковій  політиці  нашої  держави,    показників    соціального    та  економічного   розвитку  території  та  реальних можливостей бюджету громади на  відповідні  роки.</w:t>
      </w:r>
    </w:p>
    <w:p w:rsidR="00F41E80" w:rsidRDefault="00F41E80" w:rsidP="002E0952">
      <w:pPr>
        <w:autoSpaceDE w:val="0"/>
        <w:autoSpaceDN w:val="0"/>
        <w:adjustRightInd w:val="0"/>
        <w:jc w:val="both"/>
        <w:rPr>
          <w:rFonts w:ascii="Times New Roman" w:hAnsi="Times New Roman" w:cs="Times New Roman"/>
          <w:color w:val="000000"/>
          <w:sz w:val="28"/>
          <w:szCs w:val="28"/>
          <w:lang w:val="uk-UA"/>
        </w:rPr>
      </w:pPr>
    </w:p>
    <w:p w:rsidR="00F41E80" w:rsidRDefault="00F41E80" w:rsidP="002E0952">
      <w:pPr>
        <w:autoSpaceDE w:val="0"/>
        <w:autoSpaceDN w:val="0"/>
        <w:adjustRightInd w:val="0"/>
        <w:jc w:val="both"/>
        <w:rPr>
          <w:rFonts w:ascii="Times New Roman" w:hAnsi="Times New Roman" w:cs="Times New Roman"/>
          <w:color w:val="000000"/>
          <w:sz w:val="28"/>
          <w:szCs w:val="28"/>
          <w:lang w:val="uk-UA"/>
        </w:rPr>
      </w:pPr>
    </w:p>
    <w:p w:rsidR="00F41E80" w:rsidRDefault="00F41E80" w:rsidP="002E0952">
      <w:pPr>
        <w:autoSpaceDE w:val="0"/>
        <w:autoSpaceDN w:val="0"/>
        <w:adjustRightInd w:val="0"/>
        <w:jc w:val="both"/>
        <w:rPr>
          <w:rFonts w:ascii="Times New Roman" w:hAnsi="Times New Roman" w:cs="Times New Roman"/>
          <w:color w:val="000000"/>
          <w:sz w:val="28"/>
          <w:szCs w:val="28"/>
          <w:lang w:val="uk-UA"/>
        </w:rPr>
      </w:pPr>
    </w:p>
    <w:p w:rsidR="00F41E80" w:rsidRPr="00F41E80" w:rsidRDefault="00F41E80" w:rsidP="002E0952">
      <w:pPr>
        <w:autoSpaceDE w:val="0"/>
        <w:autoSpaceDN w:val="0"/>
        <w:adjustRightInd w:val="0"/>
        <w:jc w:val="both"/>
        <w:rPr>
          <w:rFonts w:ascii="Times New Roman" w:hAnsi="Times New Roman" w:cs="Times New Roman"/>
          <w:color w:val="000000"/>
          <w:sz w:val="28"/>
          <w:szCs w:val="28"/>
          <w:lang w:val="uk-UA"/>
        </w:rPr>
      </w:pPr>
    </w:p>
    <w:p w:rsidR="00F769E7" w:rsidRDefault="002E0952" w:rsidP="002E0952">
      <w:pPr>
        <w:autoSpaceDE w:val="0"/>
        <w:autoSpaceDN w:val="0"/>
        <w:adjustRightInd w:val="0"/>
        <w:rPr>
          <w:color w:val="000000"/>
          <w:sz w:val="28"/>
          <w:szCs w:val="28"/>
        </w:rPr>
      </w:pPr>
      <w:r w:rsidRPr="00F769E7">
        <w:rPr>
          <w:rFonts w:ascii="Times New Roman" w:hAnsi="Times New Roman" w:cs="Times New Roman"/>
          <w:bCs/>
          <w:color w:val="000000"/>
          <w:sz w:val="28"/>
          <w:szCs w:val="28"/>
        </w:rPr>
        <w:t>Начальник  фінансового  управління                     Тамара РОМАНЕНКО</w:t>
      </w:r>
    </w:p>
    <w:p w:rsidR="00F769E7" w:rsidRPr="00F769E7" w:rsidRDefault="00F769E7" w:rsidP="00796739">
      <w:pPr>
        <w:spacing w:after="0" w:line="360" w:lineRule="auto"/>
        <w:ind w:firstLine="709"/>
        <w:jc w:val="both"/>
        <w:rPr>
          <w:rFonts w:ascii="Times New Roman" w:hAnsi="Times New Roman" w:cs="Times New Roman"/>
          <w:sz w:val="28"/>
          <w:szCs w:val="28"/>
        </w:rPr>
      </w:pPr>
    </w:p>
    <w:sectPr w:rsidR="00F769E7" w:rsidRPr="00F769E7" w:rsidSect="00DC45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35762"/>
    <w:multiLevelType w:val="hybridMultilevel"/>
    <w:tmpl w:val="B8369E9C"/>
    <w:lvl w:ilvl="0" w:tplc="5E229550">
      <w:start w:val="9"/>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3EAF0A97"/>
    <w:multiLevelType w:val="hybridMultilevel"/>
    <w:tmpl w:val="983A8C9C"/>
    <w:lvl w:ilvl="0" w:tplc="9128509A">
      <w:numFmt w:val="bullet"/>
      <w:lvlText w:val="-"/>
      <w:lvlJc w:val="left"/>
      <w:pPr>
        <w:ind w:left="1065"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08"/>
  <w:characterSpacingControl w:val="doNotCompress"/>
  <w:compat>
    <w:compatSetting w:name="compatibilityMode" w:uri="http://schemas.microsoft.com/office/word" w:val="12"/>
  </w:compat>
  <w:rsids>
    <w:rsidRoot w:val="00711D23"/>
    <w:rsid w:val="00005F7F"/>
    <w:rsid w:val="000362FF"/>
    <w:rsid w:val="000518A1"/>
    <w:rsid w:val="00056673"/>
    <w:rsid w:val="000634D6"/>
    <w:rsid w:val="000B2903"/>
    <w:rsid w:val="000C0960"/>
    <w:rsid w:val="000C4890"/>
    <w:rsid w:val="000E7AE7"/>
    <w:rsid w:val="000F4609"/>
    <w:rsid w:val="000F4969"/>
    <w:rsid w:val="00112E1B"/>
    <w:rsid w:val="001159C9"/>
    <w:rsid w:val="00156083"/>
    <w:rsid w:val="001C1614"/>
    <w:rsid w:val="001C28C2"/>
    <w:rsid w:val="001D4E52"/>
    <w:rsid w:val="0025281B"/>
    <w:rsid w:val="002649F8"/>
    <w:rsid w:val="002A4BA1"/>
    <w:rsid w:val="002C7598"/>
    <w:rsid w:val="002D310C"/>
    <w:rsid w:val="002D6459"/>
    <w:rsid w:val="002E0952"/>
    <w:rsid w:val="003118F9"/>
    <w:rsid w:val="003451E5"/>
    <w:rsid w:val="003533EB"/>
    <w:rsid w:val="00365354"/>
    <w:rsid w:val="003A5B35"/>
    <w:rsid w:val="003A614F"/>
    <w:rsid w:val="003C1150"/>
    <w:rsid w:val="003C2AA7"/>
    <w:rsid w:val="003C67D0"/>
    <w:rsid w:val="003F77CB"/>
    <w:rsid w:val="0040661F"/>
    <w:rsid w:val="00412741"/>
    <w:rsid w:val="00414D4E"/>
    <w:rsid w:val="004320C8"/>
    <w:rsid w:val="004360BA"/>
    <w:rsid w:val="00440685"/>
    <w:rsid w:val="00454DE8"/>
    <w:rsid w:val="004B72B7"/>
    <w:rsid w:val="005179FB"/>
    <w:rsid w:val="0052702C"/>
    <w:rsid w:val="00530857"/>
    <w:rsid w:val="005313C5"/>
    <w:rsid w:val="00550010"/>
    <w:rsid w:val="0055137D"/>
    <w:rsid w:val="0056364F"/>
    <w:rsid w:val="00585F04"/>
    <w:rsid w:val="005A01EA"/>
    <w:rsid w:val="005C67EE"/>
    <w:rsid w:val="005E59FF"/>
    <w:rsid w:val="005E5E63"/>
    <w:rsid w:val="006032AE"/>
    <w:rsid w:val="00635578"/>
    <w:rsid w:val="006505F7"/>
    <w:rsid w:val="00653AC4"/>
    <w:rsid w:val="006D5F96"/>
    <w:rsid w:val="006F3117"/>
    <w:rsid w:val="00711BEC"/>
    <w:rsid w:val="00711D23"/>
    <w:rsid w:val="00730836"/>
    <w:rsid w:val="0073794F"/>
    <w:rsid w:val="00744F84"/>
    <w:rsid w:val="007453D5"/>
    <w:rsid w:val="00787BBC"/>
    <w:rsid w:val="00796739"/>
    <w:rsid w:val="007B66C0"/>
    <w:rsid w:val="007C7BAE"/>
    <w:rsid w:val="007D6639"/>
    <w:rsid w:val="00810DCC"/>
    <w:rsid w:val="0083236C"/>
    <w:rsid w:val="008427F6"/>
    <w:rsid w:val="00881BDB"/>
    <w:rsid w:val="008C2A51"/>
    <w:rsid w:val="008F6114"/>
    <w:rsid w:val="00901C98"/>
    <w:rsid w:val="00910EB9"/>
    <w:rsid w:val="00946DD1"/>
    <w:rsid w:val="009801A0"/>
    <w:rsid w:val="00993053"/>
    <w:rsid w:val="009B506B"/>
    <w:rsid w:val="009E1B8F"/>
    <w:rsid w:val="009E3383"/>
    <w:rsid w:val="009F141F"/>
    <w:rsid w:val="00A14E56"/>
    <w:rsid w:val="00A2014B"/>
    <w:rsid w:val="00A27580"/>
    <w:rsid w:val="00A32248"/>
    <w:rsid w:val="00A56E26"/>
    <w:rsid w:val="00A76BA2"/>
    <w:rsid w:val="00A949A5"/>
    <w:rsid w:val="00AB42E7"/>
    <w:rsid w:val="00AC3198"/>
    <w:rsid w:val="00B118E6"/>
    <w:rsid w:val="00B12B73"/>
    <w:rsid w:val="00B43B62"/>
    <w:rsid w:val="00B46F7F"/>
    <w:rsid w:val="00B531D7"/>
    <w:rsid w:val="00B65BA4"/>
    <w:rsid w:val="00B86012"/>
    <w:rsid w:val="00BA4A9B"/>
    <w:rsid w:val="00BC72B6"/>
    <w:rsid w:val="00BD26AC"/>
    <w:rsid w:val="00BF318B"/>
    <w:rsid w:val="00C06FD1"/>
    <w:rsid w:val="00C2276C"/>
    <w:rsid w:val="00C54ACE"/>
    <w:rsid w:val="00C645ED"/>
    <w:rsid w:val="00C67B41"/>
    <w:rsid w:val="00C849A1"/>
    <w:rsid w:val="00C8567D"/>
    <w:rsid w:val="00CB5DB6"/>
    <w:rsid w:val="00CC2745"/>
    <w:rsid w:val="00CC4944"/>
    <w:rsid w:val="00D022EF"/>
    <w:rsid w:val="00DA7209"/>
    <w:rsid w:val="00DC36A0"/>
    <w:rsid w:val="00DC4506"/>
    <w:rsid w:val="00DF0326"/>
    <w:rsid w:val="00DF3C6E"/>
    <w:rsid w:val="00E05A9A"/>
    <w:rsid w:val="00E21E8B"/>
    <w:rsid w:val="00E26C44"/>
    <w:rsid w:val="00E3428A"/>
    <w:rsid w:val="00E44F01"/>
    <w:rsid w:val="00E56451"/>
    <w:rsid w:val="00E57F51"/>
    <w:rsid w:val="00E60769"/>
    <w:rsid w:val="00E64B92"/>
    <w:rsid w:val="00EB04D8"/>
    <w:rsid w:val="00EC7577"/>
    <w:rsid w:val="00EF38D9"/>
    <w:rsid w:val="00F214FA"/>
    <w:rsid w:val="00F331B7"/>
    <w:rsid w:val="00F41E80"/>
    <w:rsid w:val="00F64151"/>
    <w:rsid w:val="00F6639C"/>
    <w:rsid w:val="00F769E7"/>
    <w:rsid w:val="00F90681"/>
    <w:rsid w:val="00FB4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E8A7E"/>
  <w15:docId w15:val="{1117F099-F63E-49A6-97BE-75D091E4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E1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645ED"/>
    <w:rPr>
      <w:color w:val="0000FF"/>
      <w:u w:val="single"/>
    </w:rPr>
  </w:style>
  <w:style w:type="table" w:styleId="a4">
    <w:name w:val="Table Grid"/>
    <w:basedOn w:val="a1"/>
    <w:uiPriority w:val="59"/>
    <w:rsid w:val="002D64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Indent"/>
    <w:basedOn w:val="a"/>
    <w:link w:val="a6"/>
    <w:rsid w:val="00E3428A"/>
    <w:pPr>
      <w:spacing w:after="0" w:line="240" w:lineRule="auto"/>
      <w:ind w:firstLine="708"/>
    </w:pPr>
    <w:rPr>
      <w:rFonts w:ascii="Times New Roman" w:eastAsia="Times New Roman" w:hAnsi="Times New Roman" w:cs="Times New Roman"/>
      <w:sz w:val="26"/>
      <w:szCs w:val="24"/>
      <w:lang w:val="uk-UA" w:eastAsia="ru-RU"/>
    </w:rPr>
  </w:style>
  <w:style w:type="character" w:customStyle="1" w:styleId="a6">
    <w:name w:val="Основной текст с отступом Знак"/>
    <w:basedOn w:val="a0"/>
    <w:link w:val="a5"/>
    <w:rsid w:val="00E3428A"/>
    <w:rPr>
      <w:rFonts w:ascii="Times New Roman" w:eastAsia="Times New Roman" w:hAnsi="Times New Roman" w:cs="Times New Roman"/>
      <w:sz w:val="26"/>
      <w:szCs w:val="24"/>
      <w:lang w:val="uk-UA" w:eastAsia="ru-RU"/>
    </w:rPr>
  </w:style>
  <w:style w:type="paragraph" w:styleId="a7">
    <w:name w:val="Normal (Web)"/>
    <w:basedOn w:val="a"/>
    <w:uiPriority w:val="99"/>
    <w:semiHidden/>
    <w:unhideWhenUsed/>
    <w:rsid w:val="009930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993053"/>
    <w:rPr>
      <w:b/>
      <w:bCs/>
    </w:rPr>
  </w:style>
  <w:style w:type="paragraph" w:styleId="a9">
    <w:name w:val="Balloon Text"/>
    <w:basedOn w:val="a"/>
    <w:link w:val="aa"/>
    <w:uiPriority w:val="99"/>
    <w:semiHidden/>
    <w:unhideWhenUsed/>
    <w:rsid w:val="006D5F9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D5F96"/>
    <w:rPr>
      <w:rFonts w:ascii="Tahoma" w:hAnsi="Tahoma" w:cs="Tahoma"/>
      <w:sz w:val="16"/>
      <w:szCs w:val="16"/>
    </w:rPr>
  </w:style>
  <w:style w:type="paragraph" w:styleId="ab">
    <w:name w:val="List Paragraph"/>
    <w:basedOn w:val="a"/>
    <w:uiPriority w:val="34"/>
    <w:qFormat/>
    <w:rsid w:val="00E564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353219">
      <w:bodyDiv w:val="1"/>
      <w:marLeft w:val="0"/>
      <w:marRight w:val="0"/>
      <w:marTop w:val="0"/>
      <w:marBottom w:val="0"/>
      <w:divBdr>
        <w:top w:val="none" w:sz="0" w:space="0" w:color="auto"/>
        <w:left w:val="none" w:sz="0" w:space="0" w:color="auto"/>
        <w:bottom w:val="none" w:sz="0" w:space="0" w:color="auto"/>
        <w:right w:val="none" w:sz="0" w:space="0" w:color="auto"/>
      </w:divBdr>
    </w:div>
    <w:div w:id="497967955">
      <w:bodyDiv w:val="1"/>
      <w:marLeft w:val="0"/>
      <w:marRight w:val="0"/>
      <w:marTop w:val="0"/>
      <w:marBottom w:val="0"/>
      <w:divBdr>
        <w:top w:val="none" w:sz="0" w:space="0" w:color="auto"/>
        <w:left w:val="none" w:sz="0" w:space="0" w:color="auto"/>
        <w:bottom w:val="none" w:sz="0" w:space="0" w:color="auto"/>
        <w:right w:val="none" w:sz="0" w:space="0" w:color="auto"/>
      </w:divBdr>
      <w:divsChild>
        <w:div w:id="245772409">
          <w:marLeft w:val="0"/>
          <w:marRight w:val="0"/>
          <w:marTop w:val="0"/>
          <w:marBottom w:val="0"/>
          <w:divBdr>
            <w:top w:val="none" w:sz="0" w:space="0" w:color="auto"/>
            <w:left w:val="none" w:sz="0" w:space="0" w:color="auto"/>
            <w:bottom w:val="none" w:sz="0" w:space="0" w:color="auto"/>
            <w:right w:val="none" w:sz="0" w:space="0" w:color="auto"/>
          </w:divBdr>
        </w:div>
      </w:divsChild>
    </w:div>
    <w:div w:id="766927086">
      <w:bodyDiv w:val="1"/>
      <w:marLeft w:val="0"/>
      <w:marRight w:val="0"/>
      <w:marTop w:val="0"/>
      <w:marBottom w:val="0"/>
      <w:divBdr>
        <w:top w:val="none" w:sz="0" w:space="0" w:color="auto"/>
        <w:left w:val="none" w:sz="0" w:space="0" w:color="auto"/>
        <w:bottom w:val="none" w:sz="0" w:space="0" w:color="auto"/>
        <w:right w:val="none" w:sz="0" w:space="0" w:color="auto"/>
      </w:divBdr>
    </w:div>
    <w:div w:id="81533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zakon.rada.gov.ua/laws/show/548-2021-%D0%BF" TargetMode="External"/><Relationship Id="rId11" Type="http://schemas.openxmlformats.org/officeDocument/2006/relationships/chart" Target="charts/chart5.xml"/><Relationship Id="rId5" Type="http://schemas.openxmlformats.org/officeDocument/2006/relationships/webSettings" Target="webSettings.xml"/><Relationship Id="rId15" Type="http://schemas.openxmlformats.org/officeDocument/2006/relationships/chart" Target="charts/chart9.xml"/><Relationship Id="rId1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1" Type="http://schemas.openxmlformats.org/officeDocument/2006/relationships/oleObject" Target="file:///\\192.168.1.10\d\Disk-X\&#1044;&#1054;&#1061;&#1054;&#1044;&#1048;\&#1050;&#1086;&#1087;&#1080;&#1103;%20&#1076;&#1086;&#1093;&#1086;&#1076;&#1080;%20&#1076;&#1110;&#1072;&#1075;&#1088;&#1072;&#1084;&#1080;%2020082021.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Disk-X\&#1044;&#1054;&#1061;&#1054;&#1044;&#1048;\&#1076;&#1086;&#1093;&#1086;&#1076;&#1080;%20&#1076;&#1110;&#1072;&#1075;&#1088;&#1072;&#1084;&#1080;%2020082021.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192.168.1.10\d\Disk-X\&#1044;&#1054;&#1061;&#1054;&#1044;&#1048;\&#1076;&#1086;&#1093;&#1086;&#1076;&#1080;%20&#1076;&#1110;&#1072;&#1075;&#1088;&#1072;&#1084;&#1080;%2020082021.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D:\Disk-X\&#1044;&#1054;&#1061;&#1054;&#1044;&#1048;\&#1076;&#1086;&#1093;&#1086;&#1076;&#1080;%20&#1076;&#1110;&#1072;&#1075;&#1088;&#1072;&#1084;&#1080;%2020082021.xlsx"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192.168.1.10\d\Disk-X\&#1044;&#1054;&#1061;&#1054;&#1044;&#1048;\&#1076;&#1086;&#1093;&#1086;&#1076;&#1080;%20&#1076;&#1110;&#1072;&#1075;&#1088;&#1072;&#1084;&#1080;%202008202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D:\Disk-X\&#1042;&#1080;&#1076;&#1072;&#1090;&#1082;&#1080;%20&#1076;&#1110;&#1072;&#1075;&#1088;&#1072;&#1084;&#1080;.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D:\Disk-X\&#1042;&#1080;&#1076;&#1072;&#1090;&#1082;&#1080;%20&#1076;&#1110;&#1072;&#1075;&#1088;&#1072;&#1084;&#1080;.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1040;&#1076;&#1084;&#1080;&#1085;&#1080;&#1089;&#1090;&#1088;&#1072;&#1090;&#1086;&#1088;.WIN-NH9NABILHDL\Desktop\doc\&#1042;&#1080;&#1076;&#1072;&#1090;&#1082;&#1080;%20&#1076;&#1110;&#1072;&#1075;&#1088;&#1072;&#1084;&#1080;.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oleObject" Target="file:///\\192.168.1.10\d\Disk-X\&#1044;&#1054;&#1061;&#1054;&#1044;&#1048;\&#1076;&#1086;&#1093;&#1086;&#1076;&#1080;%20&#1076;&#1110;&#1072;&#1075;&#1088;&#1072;&#1084;&#1080;%202008202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Показники</a:t>
            </a:r>
            <a:r>
              <a:rPr lang="ru-RU" sz="1400" baseline="0"/>
              <a:t> надходжень до бюджету Лубенської міської територіальної громади на 2022-2024 рр.</a:t>
            </a:r>
            <a:endParaRPr lang="ru-RU" sz="1400"/>
          </a:p>
        </c:rich>
      </c:tx>
      <c:layout/>
      <c:overlay val="0"/>
    </c:title>
    <c:autoTitleDeleted val="0"/>
    <c:plotArea>
      <c:layout/>
      <c:barChart>
        <c:barDir val="col"/>
        <c:grouping val="clustered"/>
        <c:varyColors val="0"/>
        <c:ser>
          <c:idx val="0"/>
          <c:order val="0"/>
          <c:tx>
            <c:strRef>
              <c:f>показники!$A$2</c:f>
              <c:strCache>
                <c:ptCount val="1"/>
                <c:pt idx="0">
                  <c:v>загальний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показники!$B$1:$D$1</c:f>
              <c:numCache>
                <c:formatCode>General</c:formatCode>
                <c:ptCount val="3"/>
                <c:pt idx="0">
                  <c:v>2022</c:v>
                </c:pt>
                <c:pt idx="1">
                  <c:v>2023</c:v>
                </c:pt>
                <c:pt idx="2">
                  <c:v>2024</c:v>
                </c:pt>
              </c:numCache>
            </c:numRef>
          </c:cat>
          <c:val>
            <c:numRef>
              <c:f>показники!$B$2:$D$2</c:f>
              <c:numCache>
                <c:formatCode>General</c:formatCode>
                <c:ptCount val="3"/>
                <c:pt idx="0">
                  <c:v>407571.8</c:v>
                </c:pt>
                <c:pt idx="1">
                  <c:v>438309.7</c:v>
                </c:pt>
                <c:pt idx="2">
                  <c:v>463031.9</c:v>
                </c:pt>
              </c:numCache>
            </c:numRef>
          </c:val>
          <c:extLst>
            <c:ext xmlns:c16="http://schemas.microsoft.com/office/drawing/2014/chart" uri="{C3380CC4-5D6E-409C-BE32-E72D297353CC}">
              <c16:uniqueId val="{00000000-7ECA-4759-A231-B1DAC6125719}"/>
            </c:ext>
          </c:extLst>
        </c:ser>
        <c:ser>
          <c:idx val="1"/>
          <c:order val="1"/>
          <c:tx>
            <c:strRef>
              <c:f>показники!$A$3</c:f>
              <c:strCache>
                <c:ptCount val="1"/>
                <c:pt idx="0">
                  <c:v>спеціальний </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показники!$B$1:$D$1</c:f>
              <c:numCache>
                <c:formatCode>General</c:formatCode>
                <c:ptCount val="3"/>
                <c:pt idx="0">
                  <c:v>2022</c:v>
                </c:pt>
                <c:pt idx="1">
                  <c:v>2023</c:v>
                </c:pt>
                <c:pt idx="2">
                  <c:v>2024</c:v>
                </c:pt>
              </c:numCache>
            </c:numRef>
          </c:cat>
          <c:val>
            <c:numRef>
              <c:f>показники!$B$3:$D$3</c:f>
              <c:numCache>
                <c:formatCode>General</c:formatCode>
                <c:ptCount val="3"/>
                <c:pt idx="0">
                  <c:v>9163.2999999999847</c:v>
                </c:pt>
                <c:pt idx="1">
                  <c:v>9623.2999999999847</c:v>
                </c:pt>
                <c:pt idx="2">
                  <c:v>10084.1</c:v>
                </c:pt>
              </c:numCache>
            </c:numRef>
          </c:val>
          <c:extLst>
            <c:ext xmlns:c16="http://schemas.microsoft.com/office/drawing/2014/chart" uri="{C3380CC4-5D6E-409C-BE32-E72D297353CC}">
              <c16:uniqueId val="{00000001-7ECA-4759-A231-B1DAC6125719}"/>
            </c:ext>
          </c:extLst>
        </c:ser>
        <c:ser>
          <c:idx val="2"/>
          <c:order val="2"/>
          <c:tx>
            <c:strRef>
              <c:f>показники!$A$4</c:f>
              <c:strCache>
                <c:ptCount val="1"/>
                <c:pt idx="0">
                  <c:v>всього</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показники!$B$1:$D$1</c:f>
              <c:numCache>
                <c:formatCode>General</c:formatCode>
                <c:ptCount val="3"/>
                <c:pt idx="0">
                  <c:v>2022</c:v>
                </c:pt>
                <c:pt idx="1">
                  <c:v>2023</c:v>
                </c:pt>
                <c:pt idx="2">
                  <c:v>2024</c:v>
                </c:pt>
              </c:numCache>
            </c:numRef>
          </c:cat>
          <c:val>
            <c:numRef>
              <c:f>показники!$B$4:$D$4</c:f>
              <c:numCache>
                <c:formatCode>General</c:formatCode>
                <c:ptCount val="3"/>
                <c:pt idx="0">
                  <c:v>416735.1</c:v>
                </c:pt>
                <c:pt idx="1">
                  <c:v>447933</c:v>
                </c:pt>
                <c:pt idx="2">
                  <c:v>473116</c:v>
                </c:pt>
              </c:numCache>
            </c:numRef>
          </c:val>
          <c:extLst>
            <c:ext xmlns:c16="http://schemas.microsoft.com/office/drawing/2014/chart" uri="{C3380CC4-5D6E-409C-BE32-E72D297353CC}">
              <c16:uniqueId val="{00000002-7ECA-4759-A231-B1DAC6125719}"/>
            </c:ext>
          </c:extLst>
        </c:ser>
        <c:dLbls>
          <c:showLegendKey val="0"/>
          <c:showVal val="0"/>
          <c:showCatName val="0"/>
          <c:showSerName val="0"/>
          <c:showPercent val="0"/>
          <c:showBubbleSize val="0"/>
        </c:dLbls>
        <c:gapWidth val="150"/>
        <c:axId val="92958080"/>
        <c:axId val="93029504"/>
      </c:barChart>
      <c:catAx>
        <c:axId val="92958080"/>
        <c:scaling>
          <c:orientation val="minMax"/>
        </c:scaling>
        <c:delete val="0"/>
        <c:axPos val="b"/>
        <c:numFmt formatCode="General" sourceLinked="1"/>
        <c:majorTickMark val="none"/>
        <c:minorTickMark val="none"/>
        <c:tickLblPos val="nextTo"/>
        <c:crossAx val="93029504"/>
        <c:crosses val="autoZero"/>
        <c:auto val="1"/>
        <c:lblAlgn val="ctr"/>
        <c:lblOffset val="100"/>
        <c:noMultiLvlLbl val="0"/>
      </c:catAx>
      <c:valAx>
        <c:axId val="93029504"/>
        <c:scaling>
          <c:orientation val="minMax"/>
        </c:scaling>
        <c:delete val="0"/>
        <c:axPos val="l"/>
        <c:majorGridlines/>
        <c:numFmt formatCode="General" sourceLinked="1"/>
        <c:majorTickMark val="none"/>
        <c:minorTickMark val="none"/>
        <c:tickLblPos val="nextTo"/>
        <c:crossAx val="92958080"/>
        <c:crosses val="autoZero"/>
        <c:crossBetween val="between"/>
      </c:valAx>
    </c:plotArea>
    <c:legend>
      <c:legendPos val="r"/>
      <c:layout/>
      <c:overlay val="0"/>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Динаміка надходжень</a:t>
            </a:r>
            <a:r>
              <a:rPr lang="ru-RU" baseline="0"/>
              <a:t> податку та збору на доходи   фізичних осіб</a:t>
            </a:r>
            <a:endParaRPr lang="ru-RU"/>
          </a:p>
        </c:rich>
      </c:tx>
      <c:layout/>
      <c:overlay val="0"/>
    </c:title>
    <c:autoTitleDeleted val="0"/>
    <c:plotArea>
      <c:layout>
        <c:manualLayout>
          <c:layoutTarget val="inner"/>
          <c:xMode val="edge"/>
          <c:yMode val="edge"/>
          <c:x val="9.4486000580766547E-2"/>
          <c:y val="0.23071095482425341"/>
          <c:w val="0.87772137515413584"/>
          <c:h val="0.69791994507358812"/>
        </c:manualLayout>
      </c:layout>
      <c:barChart>
        <c:barDir val="col"/>
        <c:grouping val="clustered"/>
        <c:varyColors val="0"/>
        <c:ser>
          <c:idx val="0"/>
          <c:order val="0"/>
          <c:tx>
            <c:strRef>
              <c:f>ПДФО!$A$2</c:f>
              <c:strCache>
                <c:ptCount val="1"/>
                <c:pt idx="0">
                  <c:v>ПДФО</c:v>
                </c:pt>
              </c:strCache>
            </c:strRef>
          </c:tx>
          <c:invertIfNegative val="0"/>
          <c:dLbls>
            <c:dLbl>
              <c:idx val="0"/>
              <c:layout>
                <c:manualLayout>
                  <c:x val="3.3167495854063032E-3"/>
                  <c:y val="-2.366863905325443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6A8A-45F5-86B1-B239B19885D0}"/>
                </c:ext>
              </c:extLst>
            </c:dLbl>
            <c:dLbl>
              <c:idx val="2"/>
              <c:layout>
                <c:manualLayout>
                  <c:x val="0"/>
                  <c:y val="-3.418803418803419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6A8A-45F5-86B1-B239B19885D0}"/>
                </c:ext>
              </c:extLst>
            </c:dLbl>
            <c:dLbl>
              <c:idx val="3"/>
              <c:layout>
                <c:manualLayout>
                  <c:x val="3.3167495854063032E-3"/>
                  <c:y val="-2.366863905325443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6A8A-45F5-86B1-B239B19885D0}"/>
                </c:ext>
              </c:extLst>
            </c:dLbl>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ПДФО!$B$1:$F$1</c:f>
              <c:numCache>
                <c:formatCode>General</c:formatCode>
                <c:ptCount val="5"/>
                <c:pt idx="0">
                  <c:v>2020</c:v>
                </c:pt>
                <c:pt idx="1">
                  <c:v>2021</c:v>
                </c:pt>
                <c:pt idx="2">
                  <c:v>2022</c:v>
                </c:pt>
                <c:pt idx="3">
                  <c:v>2023</c:v>
                </c:pt>
                <c:pt idx="4">
                  <c:v>2024</c:v>
                </c:pt>
              </c:numCache>
            </c:numRef>
          </c:cat>
          <c:val>
            <c:numRef>
              <c:f>ПДФО!$B$2:$F$2</c:f>
              <c:numCache>
                <c:formatCode>General</c:formatCode>
                <c:ptCount val="5"/>
                <c:pt idx="0">
                  <c:v>141093.5</c:v>
                </c:pt>
                <c:pt idx="1">
                  <c:v>200415</c:v>
                </c:pt>
                <c:pt idx="2">
                  <c:v>241368.9</c:v>
                </c:pt>
                <c:pt idx="3">
                  <c:v>264540.3</c:v>
                </c:pt>
                <c:pt idx="4">
                  <c:v>282529</c:v>
                </c:pt>
              </c:numCache>
            </c:numRef>
          </c:val>
          <c:extLst>
            <c:ext xmlns:c16="http://schemas.microsoft.com/office/drawing/2014/chart" uri="{C3380CC4-5D6E-409C-BE32-E72D297353CC}">
              <c16:uniqueId val="{00000003-6A8A-45F5-86B1-B239B19885D0}"/>
            </c:ext>
          </c:extLst>
        </c:ser>
        <c:dLbls>
          <c:showLegendKey val="0"/>
          <c:showVal val="0"/>
          <c:showCatName val="0"/>
          <c:showSerName val="0"/>
          <c:showPercent val="0"/>
          <c:showBubbleSize val="0"/>
        </c:dLbls>
        <c:gapWidth val="150"/>
        <c:axId val="133953408"/>
        <c:axId val="134058368"/>
      </c:barChart>
      <c:catAx>
        <c:axId val="133953408"/>
        <c:scaling>
          <c:orientation val="minMax"/>
        </c:scaling>
        <c:delete val="0"/>
        <c:axPos val="b"/>
        <c:numFmt formatCode="General" sourceLinked="1"/>
        <c:majorTickMark val="out"/>
        <c:minorTickMark val="none"/>
        <c:tickLblPos val="nextTo"/>
        <c:txPr>
          <a:bodyPr/>
          <a:lstStyle/>
          <a:p>
            <a:pPr>
              <a:defRPr b="1"/>
            </a:pPr>
            <a:endParaRPr lang="en-US"/>
          </a:p>
        </c:txPr>
        <c:crossAx val="134058368"/>
        <c:crosses val="autoZero"/>
        <c:auto val="1"/>
        <c:lblAlgn val="ctr"/>
        <c:lblOffset val="100"/>
        <c:noMultiLvlLbl val="0"/>
      </c:catAx>
      <c:valAx>
        <c:axId val="134058368"/>
        <c:scaling>
          <c:orientation val="minMax"/>
        </c:scaling>
        <c:delete val="0"/>
        <c:axPos val="l"/>
        <c:numFmt formatCode="General" sourceLinked="1"/>
        <c:majorTickMark val="out"/>
        <c:minorTickMark val="none"/>
        <c:tickLblPos val="nextTo"/>
        <c:txPr>
          <a:bodyPr/>
          <a:lstStyle/>
          <a:p>
            <a:pPr>
              <a:defRPr b="1"/>
            </a:pPr>
            <a:endParaRPr lang="en-US"/>
          </a:p>
        </c:txPr>
        <c:crossAx val="133953408"/>
        <c:crosses val="autoZero"/>
        <c:crossBetween val="between"/>
      </c:valAx>
    </c:plotArea>
    <c:plotVisOnly val="1"/>
    <c:dispBlanksAs val="gap"/>
    <c:showDLblsOverMax val="0"/>
  </c:chart>
  <c:spPr>
    <a:ln>
      <a:noFill/>
    </a:ln>
  </c:sp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a:t>Динаміка надходжень єдиного податку</a:t>
            </a:r>
          </a:p>
        </c:rich>
      </c:tx>
      <c:layout/>
      <c:overlay val="0"/>
    </c:title>
    <c:autoTitleDeleted val="0"/>
    <c:plotArea>
      <c:layout/>
      <c:barChart>
        <c:barDir val="col"/>
        <c:grouping val="clustered"/>
        <c:varyColors val="0"/>
        <c:ser>
          <c:idx val="0"/>
          <c:order val="0"/>
          <c:tx>
            <c:strRef>
              <c:f>єдиний!$A$2</c:f>
              <c:strCache>
                <c:ptCount val="1"/>
                <c:pt idx="0">
                  <c:v>єдиний</c:v>
                </c:pt>
              </c:strCache>
            </c:strRef>
          </c:tx>
          <c:spPr>
            <a:solidFill>
              <a:schemeClr val="accent2">
                <a:lumMod val="75000"/>
              </a:schemeClr>
            </a:solidFill>
          </c:spPr>
          <c:invertIfNegative val="0"/>
          <c:dLbls>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єдиний!$B$1:$F$1</c:f>
              <c:numCache>
                <c:formatCode>General</c:formatCode>
                <c:ptCount val="5"/>
                <c:pt idx="0">
                  <c:v>2020</c:v>
                </c:pt>
                <c:pt idx="1">
                  <c:v>2021</c:v>
                </c:pt>
                <c:pt idx="2">
                  <c:v>2022</c:v>
                </c:pt>
                <c:pt idx="3">
                  <c:v>2023</c:v>
                </c:pt>
                <c:pt idx="4">
                  <c:v>2024</c:v>
                </c:pt>
              </c:numCache>
            </c:numRef>
          </c:cat>
          <c:val>
            <c:numRef>
              <c:f>єдиний!$B$2:$F$2</c:f>
              <c:numCache>
                <c:formatCode>General</c:formatCode>
                <c:ptCount val="5"/>
                <c:pt idx="0">
                  <c:v>35077.199999999997</c:v>
                </c:pt>
                <c:pt idx="1">
                  <c:v>58350.3</c:v>
                </c:pt>
                <c:pt idx="2">
                  <c:v>64600</c:v>
                </c:pt>
                <c:pt idx="3">
                  <c:v>69120</c:v>
                </c:pt>
                <c:pt idx="4">
                  <c:v>72673.8</c:v>
                </c:pt>
              </c:numCache>
            </c:numRef>
          </c:val>
          <c:extLst>
            <c:ext xmlns:c16="http://schemas.microsoft.com/office/drawing/2014/chart" uri="{C3380CC4-5D6E-409C-BE32-E72D297353CC}">
              <c16:uniqueId val="{00000000-A096-4531-8BD0-462B503301FB}"/>
            </c:ext>
          </c:extLst>
        </c:ser>
        <c:dLbls>
          <c:showLegendKey val="0"/>
          <c:showVal val="0"/>
          <c:showCatName val="0"/>
          <c:showSerName val="0"/>
          <c:showPercent val="0"/>
          <c:showBubbleSize val="0"/>
        </c:dLbls>
        <c:gapWidth val="150"/>
        <c:axId val="134295936"/>
        <c:axId val="134298624"/>
      </c:barChart>
      <c:catAx>
        <c:axId val="134295936"/>
        <c:scaling>
          <c:orientation val="minMax"/>
        </c:scaling>
        <c:delete val="0"/>
        <c:axPos val="b"/>
        <c:numFmt formatCode="General" sourceLinked="1"/>
        <c:majorTickMark val="out"/>
        <c:minorTickMark val="none"/>
        <c:tickLblPos val="nextTo"/>
        <c:txPr>
          <a:bodyPr/>
          <a:lstStyle/>
          <a:p>
            <a:pPr>
              <a:defRPr b="1"/>
            </a:pPr>
            <a:endParaRPr lang="en-US"/>
          </a:p>
        </c:txPr>
        <c:crossAx val="134298624"/>
        <c:crosses val="autoZero"/>
        <c:auto val="1"/>
        <c:lblAlgn val="ctr"/>
        <c:lblOffset val="100"/>
        <c:noMultiLvlLbl val="0"/>
      </c:catAx>
      <c:valAx>
        <c:axId val="134298624"/>
        <c:scaling>
          <c:orientation val="minMax"/>
        </c:scaling>
        <c:delete val="0"/>
        <c:axPos val="l"/>
        <c:numFmt formatCode="General" sourceLinked="1"/>
        <c:majorTickMark val="out"/>
        <c:minorTickMark val="none"/>
        <c:tickLblPos val="nextTo"/>
        <c:txPr>
          <a:bodyPr/>
          <a:lstStyle/>
          <a:p>
            <a:pPr>
              <a:defRPr b="1"/>
            </a:pPr>
            <a:endParaRPr lang="en-US"/>
          </a:p>
        </c:txPr>
        <c:crossAx val="134295936"/>
        <c:crosses val="autoZero"/>
        <c:crossBetween val="between"/>
      </c:valAx>
    </c:plotArea>
    <c:plotVisOnly val="1"/>
    <c:dispBlanksAs val="gap"/>
    <c:showDLblsOverMax val="0"/>
  </c:chart>
  <c:spPr>
    <a:ln>
      <a:noFill/>
    </a:ln>
  </c:sp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майно!$B$1</c:f>
              <c:strCache>
                <c:ptCount val="1"/>
                <c:pt idx="0">
                  <c:v>земельний податок</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майно!$A$2:$A$6</c:f>
              <c:numCache>
                <c:formatCode>General</c:formatCode>
                <c:ptCount val="5"/>
                <c:pt idx="0">
                  <c:v>2020</c:v>
                </c:pt>
                <c:pt idx="1">
                  <c:v>2021</c:v>
                </c:pt>
                <c:pt idx="2">
                  <c:v>2022</c:v>
                </c:pt>
                <c:pt idx="3">
                  <c:v>2023</c:v>
                </c:pt>
                <c:pt idx="4">
                  <c:v>2024</c:v>
                </c:pt>
              </c:numCache>
            </c:numRef>
          </c:cat>
          <c:val>
            <c:numRef>
              <c:f>майно!$B$2:$B$6</c:f>
              <c:numCache>
                <c:formatCode>General</c:formatCode>
                <c:ptCount val="5"/>
                <c:pt idx="0">
                  <c:v>7029.7</c:v>
                </c:pt>
                <c:pt idx="1">
                  <c:v>11288.6</c:v>
                </c:pt>
                <c:pt idx="2">
                  <c:v>11600</c:v>
                </c:pt>
                <c:pt idx="3">
                  <c:v>11975</c:v>
                </c:pt>
                <c:pt idx="4">
                  <c:v>12350</c:v>
                </c:pt>
              </c:numCache>
            </c:numRef>
          </c:val>
          <c:extLst>
            <c:ext xmlns:c16="http://schemas.microsoft.com/office/drawing/2014/chart" uri="{C3380CC4-5D6E-409C-BE32-E72D297353CC}">
              <c16:uniqueId val="{00000000-C801-4DF5-9AAC-30B4FB0B79CA}"/>
            </c:ext>
          </c:extLst>
        </c:ser>
        <c:ser>
          <c:idx val="1"/>
          <c:order val="1"/>
          <c:tx>
            <c:strRef>
              <c:f>майно!$C$1</c:f>
              <c:strCache>
                <c:ptCount val="1"/>
                <c:pt idx="0">
                  <c:v>оренда землі</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майно!$A$2:$A$6</c:f>
              <c:numCache>
                <c:formatCode>General</c:formatCode>
                <c:ptCount val="5"/>
                <c:pt idx="0">
                  <c:v>2020</c:v>
                </c:pt>
                <c:pt idx="1">
                  <c:v>2021</c:v>
                </c:pt>
                <c:pt idx="2">
                  <c:v>2022</c:v>
                </c:pt>
                <c:pt idx="3">
                  <c:v>2023</c:v>
                </c:pt>
                <c:pt idx="4">
                  <c:v>2024</c:v>
                </c:pt>
              </c:numCache>
            </c:numRef>
          </c:cat>
          <c:val>
            <c:numRef>
              <c:f>майно!$C$2:$C$6</c:f>
              <c:numCache>
                <c:formatCode>General</c:formatCode>
                <c:ptCount val="5"/>
                <c:pt idx="0">
                  <c:v>21862</c:v>
                </c:pt>
                <c:pt idx="1">
                  <c:v>44016</c:v>
                </c:pt>
                <c:pt idx="2">
                  <c:v>48150</c:v>
                </c:pt>
                <c:pt idx="3">
                  <c:v>49500</c:v>
                </c:pt>
                <c:pt idx="4">
                  <c:v>50900</c:v>
                </c:pt>
              </c:numCache>
            </c:numRef>
          </c:val>
          <c:extLst>
            <c:ext xmlns:c16="http://schemas.microsoft.com/office/drawing/2014/chart" uri="{C3380CC4-5D6E-409C-BE32-E72D297353CC}">
              <c16:uniqueId val="{00000001-C801-4DF5-9AAC-30B4FB0B79CA}"/>
            </c:ext>
          </c:extLst>
        </c:ser>
        <c:ser>
          <c:idx val="2"/>
          <c:order val="2"/>
          <c:tx>
            <c:strRef>
              <c:f>майно!$D$1</c:f>
              <c:strCache>
                <c:ptCount val="1"/>
                <c:pt idx="0">
                  <c:v>нерухоме майно</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майно!$A$2:$A$6</c:f>
              <c:numCache>
                <c:formatCode>General</c:formatCode>
                <c:ptCount val="5"/>
                <c:pt idx="0">
                  <c:v>2020</c:v>
                </c:pt>
                <c:pt idx="1">
                  <c:v>2021</c:v>
                </c:pt>
                <c:pt idx="2">
                  <c:v>2022</c:v>
                </c:pt>
                <c:pt idx="3">
                  <c:v>2023</c:v>
                </c:pt>
                <c:pt idx="4">
                  <c:v>2024</c:v>
                </c:pt>
              </c:numCache>
            </c:numRef>
          </c:cat>
          <c:val>
            <c:numRef>
              <c:f>майно!$D$2:$D$6</c:f>
              <c:numCache>
                <c:formatCode>General</c:formatCode>
                <c:ptCount val="5"/>
                <c:pt idx="0">
                  <c:v>1696</c:v>
                </c:pt>
                <c:pt idx="1">
                  <c:v>2521.3000000000002</c:v>
                </c:pt>
                <c:pt idx="2">
                  <c:v>3035.2</c:v>
                </c:pt>
                <c:pt idx="3">
                  <c:v>3194.7</c:v>
                </c:pt>
                <c:pt idx="4">
                  <c:v>3362.4</c:v>
                </c:pt>
              </c:numCache>
            </c:numRef>
          </c:val>
          <c:extLst>
            <c:ext xmlns:c16="http://schemas.microsoft.com/office/drawing/2014/chart" uri="{C3380CC4-5D6E-409C-BE32-E72D297353CC}">
              <c16:uniqueId val="{00000002-C801-4DF5-9AAC-30B4FB0B79CA}"/>
            </c:ext>
          </c:extLst>
        </c:ser>
        <c:dLbls>
          <c:showLegendKey val="0"/>
          <c:showVal val="0"/>
          <c:showCatName val="0"/>
          <c:showSerName val="0"/>
          <c:showPercent val="0"/>
          <c:showBubbleSize val="0"/>
        </c:dLbls>
        <c:gapWidth val="150"/>
        <c:shape val="box"/>
        <c:axId val="134379392"/>
        <c:axId val="148230912"/>
        <c:axId val="0"/>
      </c:bar3DChart>
      <c:catAx>
        <c:axId val="134379392"/>
        <c:scaling>
          <c:orientation val="minMax"/>
        </c:scaling>
        <c:delete val="0"/>
        <c:axPos val="b"/>
        <c:numFmt formatCode="General" sourceLinked="1"/>
        <c:majorTickMark val="out"/>
        <c:minorTickMark val="none"/>
        <c:tickLblPos val="nextTo"/>
        <c:txPr>
          <a:bodyPr/>
          <a:lstStyle/>
          <a:p>
            <a:pPr>
              <a:defRPr b="1"/>
            </a:pPr>
            <a:endParaRPr lang="en-US"/>
          </a:p>
        </c:txPr>
        <c:crossAx val="148230912"/>
        <c:crosses val="autoZero"/>
        <c:auto val="1"/>
        <c:lblAlgn val="ctr"/>
        <c:lblOffset val="100"/>
        <c:noMultiLvlLbl val="0"/>
      </c:catAx>
      <c:valAx>
        <c:axId val="148230912"/>
        <c:scaling>
          <c:orientation val="minMax"/>
        </c:scaling>
        <c:delete val="0"/>
        <c:axPos val="l"/>
        <c:numFmt formatCode="General" sourceLinked="1"/>
        <c:majorTickMark val="out"/>
        <c:minorTickMark val="none"/>
        <c:tickLblPos val="nextTo"/>
        <c:txPr>
          <a:bodyPr/>
          <a:lstStyle/>
          <a:p>
            <a:pPr>
              <a:defRPr b="1"/>
            </a:pPr>
            <a:endParaRPr lang="en-US"/>
          </a:p>
        </c:txPr>
        <c:crossAx val="134379392"/>
        <c:crosses val="autoZero"/>
        <c:crossBetween val="between"/>
      </c:valAx>
    </c:plotArea>
    <c:legend>
      <c:legendPos val="r"/>
      <c:layout/>
      <c:overlay val="0"/>
      <c:txPr>
        <a:bodyPr/>
        <a:lstStyle/>
        <a:p>
          <a:pPr>
            <a:defRPr b="1"/>
          </a:pPr>
          <a:endParaRPr lang="en-US"/>
        </a:p>
      </c:txPr>
    </c:legend>
    <c:plotVisOnly val="1"/>
    <c:dispBlanksAs val="gap"/>
    <c:showDLblsOverMax val="0"/>
  </c:chart>
  <c:spPr>
    <a:ln w="12700">
      <a:noFill/>
    </a:ln>
    <a:scene3d>
      <a:camera prst="orthographicFront"/>
      <a:lightRig rig="threePt" dir="t"/>
    </a:scene3d>
    <a:sp3d prstMaterial="metal"/>
  </c:sp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акциз!$B$2</c:f>
              <c:strCache>
                <c:ptCount val="1"/>
                <c:pt idx="0">
                  <c:v>Пальне (вироблене)</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акциз!$A$3:$A$7</c:f>
              <c:numCache>
                <c:formatCode>General</c:formatCode>
                <c:ptCount val="5"/>
                <c:pt idx="0">
                  <c:v>2020</c:v>
                </c:pt>
                <c:pt idx="1">
                  <c:v>2021</c:v>
                </c:pt>
                <c:pt idx="2">
                  <c:v>2022</c:v>
                </c:pt>
                <c:pt idx="3">
                  <c:v>2023</c:v>
                </c:pt>
                <c:pt idx="4">
                  <c:v>2024</c:v>
                </c:pt>
              </c:numCache>
            </c:numRef>
          </c:cat>
          <c:val>
            <c:numRef>
              <c:f>акциз!$B$3:$B$7</c:f>
              <c:numCache>
                <c:formatCode>General</c:formatCode>
                <c:ptCount val="5"/>
                <c:pt idx="0">
                  <c:v>2153.5</c:v>
                </c:pt>
                <c:pt idx="1">
                  <c:v>4053</c:v>
                </c:pt>
                <c:pt idx="2">
                  <c:v>4200</c:v>
                </c:pt>
                <c:pt idx="3">
                  <c:v>4500</c:v>
                </c:pt>
                <c:pt idx="4">
                  <c:v>4800</c:v>
                </c:pt>
              </c:numCache>
            </c:numRef>
          </c:val>
          <c:extLst>
            <c:ext xmlns:c16="http://schemas.microsoft.com/office/drawing/2014/chart" uri="{C3380CC4-5D6E-409C-BE32-E72D297353CC}">
              <c16:uniqueId val="{00000000-71CB-4CB7-BA69-AD92862C9236}"/>
            </c:ext>
          </c:extLst>
        </c:ser>
        <c:ser>
          <c:idx val="1"/>
          <c:order val="1"/>
          <c:tx>
            <c:strRef>
              <c:f>акциз!$C$2</c:f>
              <c:strCache>
                <c:ptCount val="1"/>
                <c:pt idx="0">
                  <c:v>Пальне (ввезене)</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акциз!$A$3:$A$7</c:f>
              <c:numCache>
                <c:formatCode>General</c:formatCode>
                <c:ptCount val="5"/>
                <c:pt idx="0">
                  <c:v>2020</c:v>
                </c:pt>
                <c:pt idx="1">
                  <c:v>2021</c:v>
                </c:pt>
                <c:pt idx="2">
                  <c:v>2022</c:v>
                </c:pt>
                <c:pt idx="3">
                  <c:v>2023</c:v>
                </c:pt>
                <c:pt idx="4">
                  <c:v>2024</c:v>
                </c:pt>
              </c:numCache>
            </c:numRef>
          </c:cat>
          <c:val>
            <c:numRef>
              <c:f>акциз!$C$3:$C$7</c:f>
              <c:numCache>
                <c:formatCode>General</c:formatCode>
                <c:ptCount val="5"/>
                <c:pt idx="0">
                  <c:v>7523.4</c:v>
                </c:pt>
                <c:pt idx="1">
                  <c:v>13947</c:v>
                </c:pt>
                <c:pt idx="2">
                  <c:v>14000</c:v>
                </c:pt>
                <c:pt idx="3">
                  <c:v>14200</c:v>
                </c:pt>
                <c:pt idx="4">
                  <c:v>14500</c:v>
                </c:pt>
              </c:numCache>
            </c:numRef>
          </c:val>
          <c:extLst>
            <c:ext xmlns:c16="http://schemas.microsoft.com/office/drawing/2014/chart" uri="{C3380CC4-5D6E-409C-BE32-E72D297353CC}">
              <c16:uniqueId val="{00000001-71CB-4CB7-BA69-AD92862C9236}"/>
            </c:ext>
          </c:extLst>
        </c:ser>
        <c:ser>
          <c:idx val="2"/>
          <c:order val="2"/>
          <c:tx>
            <c:strRef>
              <c:f>акциз!$D$2</c:f>
              <c:strCache>
                <c:ptCount val="1"/>
                <c:pt idx="0">
                  <c:v>Роздрібна торгівля</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акциз!$A$3:$A$7</c:f>
              <c:numCache>
                <c:formatCode>General</c:formatCode>
                <c:ptCount val="5"/>
                <c:pt idx="0">
                  <c:v>2020</c:v>
                </c:pt>
                <c:pt idx="1">
                  <c:v>2021</c:v>
                </c:pt>
                <c:pt idx="2">
                  <c:v>2022</c:v>
                </c:pt>
                <c:pt idx="3">
                  <c:v>2023</c:v>
                </c:pt>
                <c:pt idx="4">
                  <c:v>2024</c:v>
                </c:pt>
              </c:numCache>
            </c:numRef>
          </c:cat>
          <c:val>
            <c:numRef>
              <c:f>акциз!$D$3:$D$7</c:f>
              <c:numCache>
                <c:formatCode>General</c:formatCode>
                <c:ptCount val="5"/>
                <c:pt idx="0">
                  <c:v>13347.1</c:v>
                </c:pt>
                <c:pt idx="1">
                  <c:v>12403</c:v>
                </c:pt>
                <c:pt idx="2">
                  <c:v>14800</c:v>
                </c:pt>
                <c:pt idx="3">
                  <c:v>15300</c:v>
                </c:pt>
                <c:pt idx="4">
                  <c:v>15800</c:v>
                </c:pt>
              </c:numCache>
            </c:numRef>
          </c:val>
          <c:extLst>
            <c:ext xmlns:c16="http://schemas.microsoft.com/office/drawing/2014/chart" uri="{C3380CC4-5D6E-409C-BE32-E72D297353CC}">
              <c16:uniqueId val="{00000002-71CB-4CB7-BA69-AD92862C9236}"/>
            </c:ext>
          </c:extLst>
        </c:ser>
        <c:dLbls>
          <c:showLegendKey val="0"/>
          <c:showVal val="0"/>
          <c:showCatName val="0"/>
          <c:showSerName val="0"/>
          <c:showPercent val="0"/>
          <c:showBubbleSize val="0"/>
        </c:dLbls>
        <c:gapWidth val="150"/>
        <c:shape val="box"/>
        <c:axId val="149196800"/>
        <c:axId val="149217664"/>
        <c:axId val="0"/>
      </c:bar3DChart>
      <c:catAx>
        <c:axId val="149196800"/>
        <c:scaling>
          <c:orientation val="minMax"/>
        </c:scaling>
        <c:delete val="0"/>
        <c:axPos val="b"/>
        <c:numFmt formatCode="General" sourceLinked="1"/>
        <c:majorTickMark val="out"/>
        <c:minorTickMark val="none"/>
        <c:tickLblPos val="nextTo"/>
        <c:crossAx val="149217664"/>
        <c:crosses val="autoZero"/>
        <c:auto val="1"/>
        <c:lblAlgn val="ctr"/>
        <c:lblOffset val="100"/>
        <c:noMultiLvlLbl val="0"/>
      </c:catAx>
      <c:valAx>
        <c:axId val="149217664"/>
        <c:scaling>
          <c:orientation val="minMax"/>
        </c:scaling>
        <c:delete val="0"/>
        <c:axPos val="l"/>
        <c:numFmt formatCode="General" sourceLinked="1"/>
        <c:majorTickMark val="out"/>
        <c:minorTickMark val="none"/>
        <c:tickLblPos val="nextTo"/>
        <c:crossAx val="149196800"/>
        <c:crosses val="autoZero"/>
        <c:crossBetween val="between"/>
      </c:valAx>
    </c:plotArea>
    <c:legend>
      <c:legendPos val="r"/>
      <c:layout/>
      <c:overlay val="0"/>
    </c:legend>
    <c:plotVisOnly val="1"/>
    <c:dispBlanksAs val="gap"/>
    <c:showDLblsOverMax val="0"/>
  </c:chart>
  <c:spPr>
    <a:ln>
      <a:noFill/>
    </a:ln>
  </c:sp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view3D>
      <c:rotX val="30"/>
      <c:rotY val="210"/>
      <c:rAngAx val="0"/>
    </c:view3D>
    <c:floor>
      <c:thickness val="0"/>
    </c:floor>
    <c:sideWall>
      <c:thickness val="0"/>
    </c:sideWall>
    <c:backWall>
      <c:thickness val="0"/>
    </c:backWall>
    <c:plotArea>
      <c:layout/>
      <c:pie3DChart>
        <c:varyColors val="1"/>
        <c:ser>
          <c:idx val="0"/>
          <c:order val="0"/>
          <c:tx>
            <c:strRef>
              <c:f>'2021'!$B$4</c:f>
              <c:strCache>
                <c:ptCount val="1"/>
                <c:pt idx="0">
                  <c:v>Аналіз структури видатків бюджету Лубенської територіальної громади на 2022 рік</c:v>
                </c:pt>
              </c:strCache>
            </c:strRef>
          </c:tx>
          <c:spPr>
            <a:effectLst>
              <a:outerShdw blurRad="114300" dist="812800" sx="139000" sy="139000" algn="ctr" rotWithShape="0">
                <a:prstClr val="black">
                  <a:alpha val="40000"/>
                </a:prstClr>
              </a:outerShdw>
            </a:effectLst>
            <a:scene3d>
              <a:camera prst="orthographicFront"/>
              <a:lightRig rig="threePt" dir="t"/>
            </a:scene3d>
            <a:sp3d prstMaterial="metal">
              <a:bevelT/>
            </a:sp3d>
          </c:spPr>
          <c:dLbls>
            <c:spPr>
              <a:noFill/>
              <a:ln>
                <a:noFill/>
              </a:ln>
              <a:effectLst/>
            </c:spPr>
            <c:txPr>
              <a:bodyPr/>
              <a:lstStyle/>
              <a:p>
                <a:pPr>
                  <a:defRPr b="1"/>
                </a:pPr>
                <a:endParaRPr lang="en-US"/>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'2021'!$A$5:$A$12</c:f>
              <c:strCache>
                <c:ptCount val="8"/>
                <c:pt idx="0">
                  <c:v>Державне управління</c:v>
                </c:pt>
                <c:pt idx="1">
                  <c:v>Освіта</c:v>
                </c:pt>
                <c:pt idx="2">
                  <c:v>Охорона здоров'я</c:v>
                </c:pt>
                <c:pt idx="3">
                  <c:v>Соціальний захист</c:v>
                </c:pt>
                <c:pt idx="4">
                  <c:v>Культура і мистецтво</c:v>
                </c:pt>
                <c:pt idx="5">
                  <c:v>Фізична культура і спорт</c:v>
                </c:pt>
                <c:pt idx="6">
                  <c:v>Житлово-комунальне госп.</c:v>
                </c:pt>
                <c:pt idx="7">
                  <c:v>Інші</c:v>
                </c:pt>
              </c:strCache>
            </c:strRef>
          </c:cat>
          <c:val>
            <c:numRef>
              <c:f>'2021'!$B$5:$B$12</c:f>
              <c:numCache>
                <c:formatCode>General</c:formatCode>
                <c:ptCount val="8"/>
                <c:pt idx="0">
                  <c:v>83387634</c:v>
                </c:pt>
                <c:pt idx="1">
                  <c:v>331183859</c:v>
                </c:pt>
                <c:pt idx="2">
                  <c:v>19047285</c:v>
                </c:pt>
                <c:pt idx="3">
                  <c:v>31633460</c:v>
                </c:pt>
                <c:pt idx="4">
                  <c:v>25921000</c:v>
                </c:pt>
                <c:pt idx="5">
                  <c:v>12035210</c:v>
                </c:pt>
                <c:pt idx="6">
                  <c:v>48612594</c:v>
                </c:pt>
                <c:pt idx="7">
                  <c:v>6393300</c:v>
                </c:pt>
              </c:numCache>
            </c:numRef>
          </c:val>
          <c:extLst>
            <c:ext xmlns:c16="http://schemas.microsoft.com/office/drawing/2014/chart" uri="{C3380CC4-5D6E-409C-BE32-E72D297353CC}">
              <c16:uniqueId val="{00000000-0DEA-4A52-9138-EE95C4EFE072}"/>
            </c:ext>
          </c:extLst>
        </c:ser>
        <c:dLbls>
          <c:showLegendKey val="0"/>
          <c:showVal val="0"/>
          <c:showCatName val="0"/>
          <c:showSerName val="0"/>
          <c:showPercent val="0"/>
          <c:showBubbleSize val="0"/>
          <c:showLeaderLines val="1"/>
        </c:dLbls>
      </c:pie3DChart>
    </c:plotArea>
    <c:legend>
      <c:legendPos val="r"/>
      <c:layout/>
      <c:overlay val="0"/>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2247372376803774"/>
          <c:y val="3.0619345859429579E-2"/>
        </c:manualLayout>
      </c:layout>
      <c:overlay val="0"/>
    </c:title>
    <c:autoTitleDeleted val="0"/>
    <c:view3D>
      <c:rotX val="30"/>
      <c:rotY val="190"/>
      <c:rAngAx val="0"/>
    </c:view3D>
    <c:floor>
      <c:thickness val="0"/>
    </c:floor>
    <c:sideWall>
      <c:thickness val="0"/>
    </c:sideWall>
    <c:backWall>
      <c:thickness val="0"/>
    </c:backWall>
    <c:plotArea>
      <c:layout/>
      <c:pie3DChart>
        <c:varyColors val="1"/>
        <c:ser>
          <c:idx val="0"/>
          <c:order val="0"/>
          <c:tx>
            <c:strRef>
              <c:f>'2021'!$C$4</c:f>
              <c:strCache>
                <c:ptCount val="1"/>
                <c:pt idx="0">
                  <c:v>Аналіз структури видатків бюджету Лубенської територіальної громади на 2023 рік</c:v>
                </c:pt>
              </c:strCache>
            </c:strRef>
          </c:tx>
          <c:spPr>
            <a:effectLst>
              <a:outerShdw blurRad="63500" dist="1282700" dir="13560000" sx="1000" sy="1000" algn="ctr" rotWithShape="0">
                <a:srgbClr val="000000">
                  <a:alpha val="43137"/>
                </a:srgbClr>
              </a:outerShdw>
            </a:effectLst>
            <a:scene3d>
              <a:camera prst="orthographicFront"/>
              <a:lightRig rig="threePt" dir="t"/>
            </a:scene3d>
            <a:sp3d prstMaterial="plastic">
              <a:bevelT/>
              <a:bevelB w="114300" prst="hardEdge"/>
            </a:sp3d>
          </c:spPr>
          <c:dLbls>
            <c:spPr>
              <a:noFill/>
              <a:ln>
                <a:noFill/>
              </a:ln>
              <a:effectLst/>
            </c:spPr>
            <c:txPr>
              <a:bodyPr/>
              <a:lstStyle/>
              <a:p>
                <a:pPr>
                  <a:defRPr b="1"/>
                </a:pPr>
                <a:endParaRPr lang="en-US"/>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'2021'!$A$5:$A$12</c:f>
              <c:strCache>
                <c:ptCount val="8"/>
                <c:pt idx="0">
                  <c:v>Державне управління</c:v>
                </c:pt>
                <c:pt idx="1">
                  <c:v>Освіта</c:v>
                </c:pt>
                <c:pt idx="2">
                  <c:v>Охорона здоров'я</c:v>
                </c:pt>
                <c:pt idx="3">
                  <c:v>Соціальний захист</c:v>
                </c:pt>
                <c:pt idx="4">
                  <c:v>Культура і мистецтво</c:v>
                </c:pt>
                <c:pt idx="5">
                  <c:v>Фізична культура і спорт</c:v>
                </c:pt>
                <c:pt idx="6">
                  <c:v>Житлово-комунальне госп.</c:v>
                </c:pt>
                <c:pt idx="7">
                  <c:v>Інші</c:v>
                </c:pt>
              </c:strCache>
            </c:strRef>
          </c:cat>
          <c:val>
            <c:numRef>
              <c:f>'2021'!$C$5:$C$12</c:f>
              <c:numCache>
                <c:formatCode>General</c:formatCode>
                <c:ptCount val="8"/>
                <c:pt idx="0">
                  <c:v>85847007</c:v>
                </c:pt>
                <c:pt idx="1">
                  <c:v>362139059</c:v>
                </c:pt>
                <c:pt idx="2">
                  <c:v>20010042</c:v>
                </c:pt>
                <c:pt idx="3">
                  <c:v>34201940</c:v>
                </c:pt>
                <c:pt idx="4">
                  <c:v>28380000</c:v>
                </c:pt>
                <c:pt idx="5">
                  <c:v>12406287</c:v>
                </c:pt>
                <c:pt idx="6">
                  <c:v>38848008</c:v>
                </c:pt>
                <c:pt idx="7">
                  <c:v>9087610</c:v>
                </c:pt>
              </c:numCache>
            </c:numRef>
          </c:val>
          <c:extLst>
            <c:ext xmlns:c16="http://schemas.microsoft.com/office/drawing/2014/chart" uri="{C3380CC4-5D6E-409C-BE32-E72D297353CC}">
              <c16:uniqueId val="{00000000-F798-4ACD-BE33-7CBA6B0B4A93}"/>
            </c:ext>
          </c:extLst>
        </c:ser>
        <c:dLbls>
          <c:showLegendKey val="0"/>
          <c:showVal val="0"/>
          <c:showCatName val="0"/>
          <c:showSerName val="0"/>
          <c:showPercent val="0"/>
          <c:showBubbleSize val="0"/>
          <c:showLeaderLines val="1"/>
        </c:dLbls>
      </c:pie3DChart>
    </c:plotArea>
    <c:legend>
      <c:legendPos val="r"/>
      <c:layout/>
      <c:overlay val="0"/>
    </c:legend>
    <c:plotVisOnly val="1"/>
    <c:dispBlanksAs val="gap"/>
    <c:showDLblsOverMax val="0"/>
  </c:chart>
  <c:spPr>
    <a:ln>
      <a:noFill/>
    </a:ln>
    <a:effectLst/>
    <a:scene3d>
      <a:camera prst="orthographicFront"/>
      <a:lightRig rig="threePt" dir="t"/>
    </a:scene3d>
    <a:sp3d prstMaterial="plastic"/>
  </c:sp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view3D>
      <c:rotX val="30"/>
      <c:rotY val="200"/>
      <c:rAngAx val="0"/>
    </c:view3D>
    <c:floor>
      <c:thickness val="0"/>
    </c:floor>
    <c:sideWall>
      <c:thickness val="0"/>
    </c:sideWall>
    <c:backWall>
      <c:thickness val="0"/>
    </c:backWall>
    <c:plotArea>
      <c:layout/>
      <c:pie3DChart>
        <c:varyColors val="1"/>
        <c:ser>
          <c:idx val="0"/>
          <c:order val="0"/>
          <c:tx>
            <c:strRef>
              <c:f>'2021'!$D$4</c:f>
              <c:strCache>
                <c:ptCount val="1"/>
                <c:pt idx="0">
                  <c:v>Аналіз структури видатків бюджету Лубенської територіальної громади на 2024 рік</c:v>
                </c:pt>
              </c:strCache>
            </c:strRef>
          </c:tx>
          <c:spPr>
            <a:effectLst>
              <a:outerShdw blurRad="114300" dist="1511300" dir="5400000" sx="146000" sy="146000" algn="ctr" rotWithShape="0">
                <a:srgbClr val="000000">
                  <a:alpha val="43137"/>
                </a:srgbClr>
              </a:outerShdw>
            </a:effectLst>
            <a:scene3d>
              <a:camera prst="orthographicFront"/>
              <a:lightRig rig="threePt" dir="t"/>
            </a:scene3d>
            <a:sp3d prstMaterial="metal">
              <a:bevelT w="114300" prst="hardEdge"/>
              <a:bevelB w="165100" prst="coolSlant"/>
            </a:sp3d>
          </c:spPr>
          <c:dLbls>
            <c:spPr>
              <a:noFill/>
              <a:ln>
                <a:noFill/>
              </a:ln>
              <a:effectLst/>
            </c:spPr>
            <c:txPr>
              <a:bodyPr/>
              <a:lstStyle/>
              <a:p>
                <a:pPr>
                  <a:defRPr b="1"/>
                </a:pPr>
                <a:endParaRPr lang="en-US"/>
              </a:p>
            </c:txPr>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'2021'!$A$5:$A$12</c:f>
              <c:strCache>
                <c:ptCount val="8"/>
                <c:pt idx="0">
                  <c:v>Державне управління</c:v>
                </c:pt>
                <c:pt idx="1">
                  <c:v>Освіта</c:v>
                </c:pt>
                <c:pt idx="2">
                  <c:v>Охорона здоров'я</c:v>
                </c:pt>
                <c:pt idx="3">
                  <c:v>Соціальний захист</c:v>
                </c:pt>
                <c:pt idx="4">
                  <c:v>Культура і мистецтво</c:v>
                </c:pt>
                <c:pt idx="5">
                  <c:v>Фізична культура і спорт</c:v>
                </c:pt>
                <c:pt idx="6">
                  <c:v>Житлово-комунальне госп.</c:v>
                </c:pt>
                <c:pt idx="7">
                  <c:v>Інші</c:v>
                </c:pt>
              </c:strCache>
            </c:strRef>
          </c:cat>
          <c:val>
            <c:numRef>
              <c:f>'2021'!$D$5:$D$12</c:f>
              <c:numCache>
                <c:formatCode>General</c:formatCode>
                <c:ptCount val="8"/>
                <c:pt idx="0">
                  <c:v>90571224</c:v>
                </c:pt>
                <c:pt idx="1">
                  <c:v>384763325</c:v>
                </c:pt>
                <c:pt idx="2">
                  <c:v>21030609</c:v>
                </c:pt>
                <c:pt idx="3">
                  <c:v>36150109</c:v>
                </c:pt>
                <c:pt idx="4">
                  <c:v>30453700</c:v>
                </c:pt>
                <c:pt idx="5">
                  <c:v>13013194</c:v>
                </c:pt>
                <c:pt idx="6">
                  <c:v>37960756</c:v>
                </c:pt>
                <c:pt idx="7">
                  <c:v>6669516</c:v>
                </c:pt>
              </c:numCache>
            </c:numRef>
          </c:val>
          <c:extLst>
            <c:ext xmlns:c16="http://schemas.microsoft.com/office/drawing/2014/chart" uri="{C3380CC4-5D6E-409C-BE32-E72D297353CC}">
              <c16:uniqueId val="{00000000-13DC-4218-B736-6DFC38B01B59}"/>
            </c:ext>
          </c:extLst>
        </c:ser>
        <c:dLbls>
          <c:showLegendKey val="0"/>
          <c:showVal val="0"/>
          <c:showCatName val="0"/>
          <c:showSerName val="0"/>
          <c:showPercent val="0"/>
          <c:showBubbleSize val="0"/>
          <c:showLeaderLines val="1"/>
        </c:dLbls>
      </c:pie3DChart>
    </c:plotArea>
    <c:legend>
      <c:legendPos val="r"/>
      <c:layout/>
      <c:overlay val="0"/>
    </c:legend>
    <c:plotVisOnly val="1"/>
    <c:dispBlanksAs val="gap"/>
    <c:showDLblsOverMax val="0"/>
  </c:chart>
  <c:spPr>
    <a:ln>
      <a:noFill/>
    </a:ln>
  </c:sp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Динаміка надходжень освітньої субвенції</a:t>
            </a:r>
          </a:p>
        </c:rich>
      </c:tx>
      <c:overlay val="0"/>
    </c:title>
    <c:autoTitleDeleted val="0"/>
    <c:plotArea>
      <c:layout/>
      <c:barChart>
        <c:barDir val="col"/>
        <c:grouping val="clustered"/>
        <c:varyColors val="0"/>
        <c:ser>
          <c:idx val="0"/>
          <c:order val="0"/>
          <c:tx>
            <c:strRef>
              <c:f>освітня!$A$2</c:f>
              <c:strCache>
                <c:ptCount val="1"/>
                <c:pt idx="0">
                  <c:v>освітня</c:v>
                </c:pt>
              </c:strCache>
            </c:strRef>
          </c:tx>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c:spPr>
          <c:invertIfNegative val="0"/>
          <c:dLbls>
            <c:spPr>
              <a:noFill/>
              <a:ln>
                <a:noFill/>
              </a:ln>
              <a:effectLst/>
            </c:spPr>
            <c:txPr>
              <a:bodyPr/>
              <a:lstStyle/>
              <a:p>
                <a:pPr>
                  <a:defRPr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освітня!$B$1:$F$1</c:f>
              <c:numCache>
                <c:formatCode>General</c:formatCode>
                <c:ptCount val="5"/>
                <c:pt idx="0">
                  <c:v>2020</c:v>
                </c:pt>
                <c:pt idx="1">
                  <c:v>2021</c:v>
                </c:pt>
                <c:pt idx="2">
                  <c:v>2022</c:v>
                </c:pt>
                <c:pt idx="3">
                  <c:v>2023</c:v>
                </c:pt>
                <c:pt idx="4">
                  <c:v>2024</c:v>
                </c:pt>
              </c:numCache>
            </c:numRef>
          </c:cat>
          <c:val>
            <c:numRef>
              <c:f>освітня!$B$2:$F$2</c:f>
              <c:numCache>
                <c:formatCode>General</c:formatCode>
                <c:ptCount val="5"/>
                <c:pt idx="0">
                  <c:v>66061.2</c:v>
                </c:pt>
                <c:pt idx="1">
                  <c:v>133726.79999999999</c:v>
                </c:pt>
                <c:pt idx="2">
                  <c:v>145945.4</c:v>
                </c:pt>
                <c:pt idx="3">
                  <c:v>159845.9</c:v>
                </c:pt>
                <c:pt idx="4">
                  <c:v>170753.7</c:v>
                </c:pt>
              </c:numCache>
            </c:numRef>
          </c:val>
          <c:extLst>
            <c:ext xmlns:c16="http://schemas.microsoft.com/office/drawing/2014/chart" uri="{C3380CC4-5D6E-409C-BE32-E72D297353CC}">
              <c16:uniqueId val="{00000000-A390-4FB3-98B6-4632AF2E6AF3}"/>
            </c:ext>
          </c:extLst>
        </c:ser>
        <c:dLbls>
          <c:showLegendKey val="0"/>
          <c:showVal val="0"/>
          <c:showCatName val="0"/>
          <c:showSerName val="0"/>
          <c:showPercent val="0"/>
          <c:showBubbleSize val="0"/>
        </c:dLbls>
        <c:gapWidth val="150"/>
        <c:axId val="133935872"/>
        <c:axId val="133937408"/>
      </c:barChart>
      <c:catAx>
        <c:axId val="133935872"/>
        <c:scaling>
          <c:orientation val="minMax"/>
        </c:scaling>
        <c:delete val="0"/>
        <c:axPos val="b"/>
        <c:numFmt formatCode="General" sourceLinked="1"/>
        <c:majorTickMark val="out"/>
        <c:minorTickMark val="none"/>
        <c:tickLblPos val="nextTo"/>
        <c:txPr>
          <a:bodyPr/>
          <a:lstStyle/>
          <a:p>
            <a:pPr>
              <a:defRPr b="1"/>
            </a:pPr>
            <a:endParaRPr lang="en-US"/>
          </a:p>
        </c:txPr>
        <c:crossAx val="133937408"/>
        <c:crosses val="autoZero"/>
        <c:auto val="1"/>
        <c:lblAlgn val="ctr"/>
        <c:lblOffset val="100"/>
        <c:noMultiLvlLbl val="0"/>
      </c:catAx>
      <c:valAx>
        <c:axId val="133937408"/>
        <c:scaling>
          <c:orientation val="minMax"/>
        </c:scaling>
        <c:delete val="0"/>
        <c:axPos val="l"/>
        <c:numFmt formatCode="General" sourceLinked="1"/>
        <c:majorTickMark val="out"/>
        <c:minorTickMark val="none"/>
        <c:tickLblPos val="nextTo"/>
        <c:txPr>
          <a:bodyPr/>
          <a:lstStyle/>
          <a:p>
            <a:pPr>
              <a:defRPr b="1"/>
            </a:pPr>
            <a:endParaRPr lang="en-US"/>
          </a:p>
        </c:txPr>
        <c:crossAx val="133935872"/>
        <c:crosses val="autoZero"/>
        <c:crossBetween val="between"/>
      </c:valAx>
    </c:plotArea>
    <c:plotVisOnly val="1"/>
    <c:dispBlanksAs val="gap"/>
    <c:showDLblsOverMax val="0"/>
  </c:chart>
  <c:spPr>
    <a:ln>
      <a:noFill/>
    </a:ln>
  </c:sp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0.40423</cdr:x>
      <cdr:y>0.54438</cdr:y>
    </cdr:from>
    <cdr:to>
      <cdr:x>0.50248</cdr:x>
      <cdr:y>0.62327</cdr:y>
    </cdr:to>
    <cdr:sp macro="" textlink="">
      <cdr:nvSpPr>
        <cdr:cNvPr id="6" name="Стрелка вправо 5"/>
        <cdr:cNvSpPr/>
      </cdr:nvSpPr>
      <cdr:spPr>
        <a:xfrm xmlns:a="http://schemas.openxmlformats.org/drawingml/2006/main">
          <a:off x="2401297" y="2039304"/>
          <a:ext cx="583639" cy="295530"/>
        </a:xfrm>
        <a:prstGeom xmlns:a="http://schemas.openxmlformats.org/drawingml/2006/main" prst="rightArrow">
          <a:avLst/>
        </a:prstGeom>
        <a:solidFill xmlns:a="http://schemas.openxmlformats.org/drawingml/2006/main">
          <a:sysClr val="window" lastClr="FFFFFF"/>
        </a:solidFill>
        <a:ln xmlns:a="http://schemas.openxmlformats.org/drawingml/2006/main" w="25400" cap="flat" cmpd="sng" algn="ctr">
          <a:solidFill>
            <a:srgbClr val="4F81BD">
              <a:shade val="50000"/>
            </a:srgbClr>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r>
            <a:rPr lang="ru-RU" sz="800" b="1">
              <a:solidFill>
                <a:schemeClr val="tx1"/>
              </a:solidFill>
              <a:latin typeface="Calibri"/>
              <a:ea typeface="+mn-ea"/>
              <a:cs typeface="+mn-cs"/>
            </a:rPr>
            <a:t>120,4%</a:t>
          </a:r>
          <a:endParaRPr lang="ru-RU" sz="800">
            <a:solidFill>
              <a:schemeClr val="tx1"/>
            </a:solidFill>
          </a:endParaRPr>
        </a:p>
      </cdr:txBody>
    </cdr:sp>
  </cdr:relSizeAnchor>
  <cdr:relSizeAnchor xmlns:cdr="http://schemas.openxmlformats.org/drawingml/2006/chartDrawing">
    <cdr:from>
      <cdr:x>0.57148</cdr:x>
      <cdr:y>0.41617</cdr:y>
    </cdr:from>
    <cdr:to>
      <cdr:x>0.6741</cdr:x>
      <cdr:y>0.49507</cdr:y>
    </cdr:to>
    <cdr:sp macro="" textlink="">
      <cdr:nvSpPr>
        <cdr:cNvPr id="7" name="Стрелка вправо 6"/>
        <cdr:cNvSpPr/>
      </cdr:nvSpPr>
      <cdr:spPr>
        <a:xfrm xmlns:a="http://schemas.openxmlformats.org/drawingml/2006/main">
          <a:off x="3394842" y="1559016"/>
          <a:ext cx="609600" cy="295567"/>
        </a:xfrm>
        <a:prstGeom xmlns:a="http://schemas.openxmlformats.org/drawingml/2006/main" prst="rightArrow">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800" b="1">
              <a:solidFill>
                <a:schemeClr val="tx1"/>
              </a:solidFill>
            </a:rPr>
            <a:t>109,6%</a:t>
          </a:r>
        </a:p>
      </cdr:txBody>
    </cdr:sp>
  </cdr:relSizeAnchor>
  <cdr:relSizeAnchor xmlns:cdr="http://schemas.openxmlformats.org/drawingml/2006/chartDrawing">
    <cdr:from>
      <cdr:x>0.74874</cdr:x>
      <cdr:y>0.33816</cdr:y>
    </cdr:from>
    <cdr:to>
      <cdr:x>0.84782</cdr:x>
      <cdr:y>0.41706</cdr:y>
    </cdr:to>
    <cdr:sp macro="" textlink="">
      <cdr:nvSpPr>
        <cdr:cNvPr id="8" name="Стрелка вправо 7"/>
        <cdr:cNvSpPr/>
      </cdr:nvSpPr>
      <cdr:spPr>
        <a:xfrm xmlns:a="http://schemas.openxmlformats.org/drawingml/2006/main">
          <a:off x="4447845" y="1266795"/>
          <a:ext cx="588579" cy="295568"/>
        </a:xfrm>
        <a:prstGeom xmlns:a="http://schemas.openxmlformats.org/drawingml/2006/main" prst="rightArrow">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800" b="1">
              <a:solidFill>
                <a:schemeClr val="tx1"/>
              </a:solidFill>
            </a:rPr>
            <a:t>106,8%</a:t>
          </a:r>
        </a:p>
      </cdr:txBody>
    </cdr:sp>
  </cdr:relSizeAnchor>
  <cdr:relSizeAnchor xmlns:cdr="http://schemas.openxmlformats.org/drawingml/2006/chartDrawing">
    <cdr:from>
      <cdr:x>0.21642</cdr:x>
      <cdr:y>0.67653</cdr:y>
    </cdr:from>
    <cdr:to>
      <cdr:x>0.31847</cdr:x>
      <cdr:y>0.75542</cdr:y>
    </cdr:to>
    <cdr:sp macro="" textlink="">
      <cdr:nvSpPr>
        <cdr:cNvPr id="5" name="Стрелка вправо 4"/>
        <cdr:cNvSpPr/>
      </cdr:nvSpPr>
      <cdr:spPr>
        <a:xfrm xmlns:a="http://schemas.openxmlformats.org/drawingml/2006/main">
          <a:off x="1285626" y="2534351"/>
          <a:ext cx="606235" cy="295530"/>
        </a:xfrm>
        <a:prstGeom xmlns:a="http://schemas.openxmlformats.org/drawingml/2006/main" prst="rightArrow">
          <a:avLst/>
        </a:prstGeom>
        <a:solidFill xmlns:a="http://schemas.openxmlformats.org/drawingml/2006/main">
          <a:sysClr val="window" lastClr="FFFFFF"/>
        </a:solidFill>
        <a:ln xmlns:a="http://schemas.openxmlformats.org/drawingml/2006/main" w="25400" cap="flat" cmpd="sng" algn="ctr">
          <a:solidFill>
            <a:srgbClr val="4F81BD">
              <a:shade val="50000"/>
            </a:srgbClr>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r>
            <a:rPr lang="ru-RU" sz="800" b="1">
              <a:solidFill>
                <a:sysClr val="windowText" lastClr="000000"/>
              </a:solidFill>
            </a:rPr>
            <a:t>142%</a:t>
          </a:r>
        </a:p>
      </cdr:txBody>
    </cdr:sp>
  </cdr:relSizeAnchor>
</c:userShapes>
</file>

<file path=word/drawings/drawing2.xml><?xml version="1.0" encoding="utf-8"?>
<c:userShapes xmlns:c="http://schemas.openxmlformats.org/drawingml/2006/chart">
  <cdr:relSizeAnchor xmlns:cdr="http://schemas.openxmlformats.org/drawingml/2006/chartDrawing">
    <cdr:from>
      <cdr:x>0.21042</cdr:x>
      <cdr:y>0.67563</cdr:y>
    </cdr:from>
    <cdr:to>
      <cdr:x>0.31847</cdr:x>
      <cdr:y>0.84358</cdr:y>
    </cdr:to>
    <cdr:sp macro="" textlink="">
      <cdr:nvSpPr>
        <cdr:cNvPr id="2" name="Стрелка вправо 1"/>
        <cdr:cNvSpPr/>
      </cdr:nvSpPr>
      <cdr:spPr>
        <a:xfrm xmlns:a="http://schemas.openxmlformats.org/drawingml/2006/main">
          <a:off x="1249984" y="1860331"/>
          <a:ext cx="641878" cy="462455"/>
        </a:xfrm>
        <a:prstGeom xmlns:a="http://schemas.openxmlformats.org/drawingml/2006/main" prst="rightArrow">
          <a:avLst/>
        </a:prstGeom>
        <a:solidFill xmlns:a="http://schemas.openxmlformats.org/drawingml/2006/main">
          <a:schemeClr val="bg1"/>
        </a:solidFill>
        <a:ln xmlns:a="http://schemas.openxmlformats.org/drawingml/2006/main" w="25400" cap="flat" cmpd="sng" algn="ctr">
          <a:solidFill>
            <a:srgbClr val="4F81BD">
              <a:shade val="50000"/>
            </a:srgbClr>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pPr algn="ctr"/>
          <a:r>
            <a:rPr lang="ru-RU" sz="800" b="1">
              <a:solidFill>
                <a:schemeClr val="tx1"/>
              </a:solidFill>
            </a:rPr>
            <a:t>166,3%</a:t>
          </a:r>
        </a:p>
      </cdr:txBody>
    </cdr:sp>
  </cdr:relSizeAnchor>
  <cdr:relSizeAnchor xmlns:cdr="http://schemas.openxmlformats.org/drawingml/2006/chartDrawing">
    <cdr:from>
      <cdr:x>0.38394</cdr:x>
      <cdr:y>0.63371</cdr:y>
    </cdr:from>
    <cdr:to>
      <cdr:x>0.49894</cdr:x>
      <cdr:y>0.80923</cdr:y>
    </cdr:to>
    <cdr:sp macro="" textlink="">
      <cdr:nvSpPr>
        <cdr:cNvPr id="3" name="Стрелка вправо 2"/>
        <cdr:cNvSpPr/>
      </cdr:nvSpPr>
      <cdr:spPr>
        <a:xfrm xmlns:a="http://schemas.openxmlformats.org/drawingml/2006/main">
          <a:off x="2280744" y="1744907"/>
          <a:ext cx="683173" cy="483286"/>
        </a:xfrm>
        <a:prstGeom xmlns:a="http://schemas.openxmlformats.org/drawingml/2006/main" prst="rightArrow">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800" b="1">
              <a:solidFill>
                <a:schemeClr val="tx1"/>
              </a:solidFill>
            </a:rPr>
            <a:t>110,7%</a:t>
          </a:r>
        </a:p>
      </cdr:txBody>
    </cdr:sp>
  </cdr:relSizeAnchor>
  <cdr:relSizeAnchor xmlns:cdr="http://schemas.openxmlformats.org/drawingml/2006/chartDrawing">
    <cdr:from>
      <cdr:x>0.56794</cdr:x>
      <cdr:y>0.52809</cdr:y>
    </cdr:from>
    <cdr:to>
      <cdr:x>0.68118</cdr:x>
      <cdr:y>0.69853</cdr:y>
    </cdr:to>
    <cdr:sp macro="" textlink="">
      <cdr:nvSpPr>
        <cdr:cNvPr id="4" name="Стрелка вправо 3"/>
        <cdr:cNvSpPr/>
      </cdr:nvSpPr>
      <cdr:spPr>
        <a:xfrm xmlns:a="http://schemas.openxmlformats.org/drawingml/2006/main">
          <a:off x="3373820" y="1454083"/>
          <a:ext cx="672661" cy="469309"/>
        </a:xfrm>
        <a:prstGeom xmlns:a="http://schemas.openxmlformats.org/drawingml/2006/main" prst="rightArrow">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800" b="1">
              <a:solidFill>
                <a:schemeClr val="tx1"/>
              </a:solidFill>
            </a:rPr>
            <a:t>107,0%</a:t>
          </a:r>
        </a:p>
      </cdr:txBody>
    </cdr:sp>
  </cdr:relSizeAnchor>
  <cdr:relSizeAnchor xmlns:cdr="http://schemas.openxmlformats.org/drawingml/2006/chartDrawing">
    <cdr:from>
      <cdr:x>0.74664</cdr:x>
      <cdr:y>0.42022</cdr:y>
    </cdr:from>
    <cdr:to>
      <cdr:x>0.85634</cdr:x>
      <cdr:y>0.64128</cdr:y>
    </cdr:to>
    <cdr:sp macro="" textlink="">
      <cdr:nvSpPr>
        <cdr:cNvPr id="5" name="Стрелка вправо 4"/>
        <cdr:cNvSpPr/>
      </cdr:nvSpPr>
      <cdr:spPr>
        <a:xfrm xmlns:a="http://schemas.openxmlformats.org/drawingml/2006/main">
          <a:off x="4435365" y="1157066"/>
          <a:ext cx="651641" cy="608671"/>
        </a:xfrm>
        <a:prstGeom xmlns:a="http://schemas.openxmlformats.org/drawingml/2006/main" prst="rightArrow">
          <a:avLst/>
        </a:prstGeom>
        <a:solidFill xmlns:a="http://schemas.openxmlformats.org/drawingml/2006/main">
          <a:schemeClr val="bg1"/>
        </a:soli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rtlCol="0" anchor="ctr"/>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pPr algn="ctr"/>
          <a:r>
            <a:rPr lang="ru-RU" sz="800" b="1">
              <a:solidFill>
                <a:schemeClr val="tx1"/>
              </a:solidFill>
            </a:rPr>
            <a:t>105,1%</a:t>
          </a:r>
        </a:p>
      </cdr:txBody>
    </cdr:sp>
  </cdr:relSizeAnchor>
</c:userShapes>
</file>

<file path=word/drawings/drawing3.xml><?xml version="1.0" encoding="utf-8"?>
<c:userShapes xmlns:c="http://schemas.openxmlformats.org/drawingml/2006/chart">
  <cdr:relSizeAnchor xmlns:cdr="http://schemas.openxmlformats.org/drawingml/2006/chartDrawing">
    <cdr:from>
      <cdr:x>0.25276</cdr:x>
      <cdr:y>0.03698</cdr:y>
    </cdr:from>
    <cdr:to>
      <cdr:x>0.33104</cdr:x>
      <cdr:y>0.0937</cdr:y>
    </cdr:to>
    <cdr:sp macro="" textlink="">
      <cdr:nvSpPr>
        <cdr:cNvPr id="2" name="TextBox 1"/>
        <cdr:cNvSpPr txBox="1"/>
      </cdr:nvSpPr>
      <cdr:spPr>
        <a:xfrm xmlns:a="http://schemas.openxmlformats.org/drawingml/2006/main">
          <a:off x="1501493" y="132010"/>
          <a:ext cx="465017" cy="202498"/>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57825,9</a:t>
          </a:r>
        </a:p>
      </cdr:txBody>
    </cdr:sp>
  </cdr:relSizeAnchor>
  <cdr:relSizeAnchor xmlns:cdr="http://schemas.openxmlformats.org/drawingml/2006/chartDrawing">
    <cdr:from>
      <cdr:x>0.38329</cdr:x>
      <cdr:y>0.04371</cdr:y>
    </cdr:from>
    <cdr:to>
      <cdr:x>0.46537</cdr:x>
      <cdr:y>0.10673</cdr:y>
    </cdr:to>
    <cdr:sp macro="" textlink="">
      <cdr:nvSpPr>
        <cdr:cNvPr id="3" name="TextBox 2"/>
        <cdr:cNvSpPr txBox="1"/>
      </cdr:nvSpPr>
      <cdr:spPr>
        <a:xfrm xmlns:a="http://schemas.openxmlformats.org/drawingml/2006/main">
          <a:off x="2276935" y="156044"/>
          <a:ext cx="487590" cy="22499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62785,2</a:t>
          </a:r>
        </a:p>
      </cdr:txBody>
    </cdr:sp>
  </cdr:relSizeAnchor>
  <cdr:relSizeAnchor xmlns:cdr="http://schemas.openxmlformats.org/drawingml/2006/chartDrawing">
    <cdr:from>
      <cdr:x>0.50904</cdr:x>
      <cdr:y>0.03277</cdr:y>
    </cdr:from>
    <cdr:to>
      <cdr:x>0.58858</cdr:x>
      <cdr:y>0.10359</cdr:y>
    </cdr:to>
    <cdr:sp macro="" textlink="">
      <cdr:nvSpPr>
        <cdr:cNvPr id="4" name="TextBox 3"/>
        <cdr:cNvSpPr txBox="1"/>
      </cdr:nvSpPr>
      <cdr:spPr>
        <a:xfrm xmlns:a="http://schemas.openxmlformats.org/drawingml/2006/main">
          <a:off x="3023930" y="116980"/>
          <a:ext cx="472501" cy="25285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64669,7</a:t>
          </a:r>
        </a:p>
      </cdr:txBody>
    </cdr:sp>
  </cdr:relSizeAnchor>
  <cdr:relSizeAnchor xmlns:cdr="http://schemas.openxmlformats.org/drawingml/2006/chartDrawing">
    <cdr:from>
      <cdr:x>0.6363</cdr:x>
      <cdr:y>0.03361</cdr:y>
    </cdr:from>
    <cdr:to>
      <cdr:x>0.71711</cdr:x>
      <cdr:y>0.09034</cdr:y>
    </cdr:to>
    <cdr:sp macro="" textlink="">
      <cdr:nvSpPr>
        <cdr:cNvPr id="5" name="TextBox 4"/>
        <cdr:cNvSpPr txBox="1"/>
      </cdr:nvSpPr>
      <cdr:spPr>
        <a:xfrm xmlns:a="http://schemas.openxmlformats.org/drawingml/2006/main">
          <a:off x="3779882" y="119992"/>
          <a:ext cx="480046" cy="20253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66612,4</a:t>
          </a:r>
        </a:p>
      </cdr:txBody>
    </cdr:sp>
  </cdr:relSizeAnchor>
  <cdr:relSizeAnchor xmlns:cdr="http://schemas.openxmlformats.org/drawingml/2006/chartDrawing">
    <cdr:from>
      <cdr:x>0.13079</cdr:x>
      <cdr:y>0.10296</cdr:y>
    </cdr:from>
    <cdr:to>
      <cdr:x>0.76842</cdr:x>
      <cdr:y>0.10296</cdr:y>
    </cdr:to>
    <cdr:sp macro="" textlink="">
      <cdr:nvSpPr>
        <cdr:cNvPr id="7" name="Прямая соединительная линия 6"/>
        <cdr:cNvSpPr/>
      </cdr:nvSpPr>
      <cdr:spPr>
        <a:xfrm xmlns:a="http://schemas.openxmlformats.org/drawingml/2006/main">
          <a:off x="776951" y="367574"/>
          <a:ext cx="3787793" cy="0"/>
        </a:xfrm>
        <a:prstGeom xmlns:a="http://schemas.openxmlformats.org/drawingml/2006/main" prst="line">
          <a:avLst/>
        </a:prstGeom>
      </cdr:spPr>
      <cdr:style>
        <a:lnRef xmlns:a="http://schemas.openxmlformats.org/drawingml/2006/main" idx="1">
          <a:schemeClr val="dk1"/>
        </a:lnRef>
        <a:fillRef xmlns:a="http://schemas.openxmlformats.org/drawingml/2006/main" idx="0">
          <a:schemeClr val="dk1"/>
        </a:fillRef>
        <a:effectRef xmlns:a="http://schemas.openxmlformats.org/drawingml/2006/main" idx="0">
          <a:schemeClr val="dk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ru-RU"/>
        </a:p>
      </cdr:txBody>
    </cdr:sp>
  </cdr:relSizeAnchor>
  <cdr:relSizeAnchor xmlns:cdr="http://schemas.openxmlformats.org/drawingml/2006/chartDrawing">
    <cdr:from>
      <cdr:x>0.06313</cdr:x>
      <cdr:y>0.03782</cdr:y>
    </cdr:from>
    <cdr:to>
      <cdr:x>0.14191</cdr:x>
      <cdr:y>0.09617</cdr:y>
    </cdr:to>
    <cdr:sp macro="" textlink="">
      <cdr:nvSpPr>
        <cdr:cNvPr id="8" name="TextBox 4"/>
        <cdr:cNvSpPr txBox="1"/>
      </cdr:nvSpPr>
      <cdr:spPr>
        <a:xfrm xmlns:a="http://schemas.openxmlformats.org/drawingml/2006/main">
          <a:off x="476250" y="171450"/>
          <a:ext cx="594265" cy="26456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r>
            <a:rPr lang="ru-RU" sz="1100" b="1"/>
            <a:t>Всього</a:t>
          </a:r>
        </a:p>
      </cdr:txBody>
    </cdr:sp>
  </cdr:relSizeAnchor>
  <cdr:relSizeAnchor xmlns:cdr="http://schemas.openxmlformats.org/drawingml/2006/chartDrawing">
    <cdr:from>
      <cdr:x>0.13636</cdr:x>
      <cdr:y>0.04202</cdr:y>
    </cdr:from>
    <cdr:to>
      <cdr:x>0.22237</cdr:x>
      <cdr:y>0.10037</cdr:y>
    </cdr:to>
    <cdr:sp macro="" textlink="">
      <cdr:nvSpPr>
        <cdr:cNvPr id="9" name="TextBox 6"/>
        <cdr:cNvSpPr txBox="1"/>
      </cdr:nvSpPr>
      <cdr:spPr>
        <a:xfrm xmlns:a="http://schemas.openxmlformats.org/drawingml/2006/main">
          <a:off x="1028700" y="190500"/>
          <a:ext cx="648832" cy="26456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cdr:spPr>
      <cdr:style>
        <a:lnRef xmlns:a="http://schemas.openxmlformats.org/drawingml/2006/main" idx="0">
          <a:scrgbClr r="0" g="0" b="0"/>
        </a:lnRef>
        <a:fillRef xmlns:a="http://schemas.openxmlformats.org/drawingml/2006/main" idx="0">
          <a:scrgbClr r="0" g="0" b="0"/>
        </a:fillRef>
        <a:effectRef xmlns:a="http://schemas.openxmlformats.org/drawingml/2006/main" idx="0">
          <a:scrgbClr r="0" g="0" b="0"/>
        </a:effectRef>
        <a:fontRef xmlns:a="http://schemas.openxmlformats.org/drawingml/2006/main" idx="minor">
          <a:schemeClr val="tx1"/>
        </a:fontRef>
      </cdr:style>
      <cdr:txBody>
        <a:bodyPr xmlns:a="http://schemas.openxmlformats.org/drawingml/2006/main" wrap="none" rtlCol="0" anchor="t">
          <a:spAutoFit/>
        </a:bodyPr>
        <a:lstStyle xmlns:a="http://schemas.openxmlformats.org/drawingml/2006/main">
          <a:lvl1pPr marL="0" indent="0">
            <a:defRPr sz="1100">
              <a:solidFill>
                <a:sysClr val="windowText" lastClr="000000"/>
              </a:solidFill>
              <a:latin typeface="Calibri"/>
            </a:defRPr>
          </a:lvl1pPr>
          <a:lvl2pPr marL="457200" indent="0">
            <a:defRPr sz="1100">
              <a:solidFill>
                <a:sysClr val="windowText" lastClr="000000"/>
              </a:solidFill>
              <a:latin typeface="Calibri"/>
            </a:defRPr>
          </a:lvl2pPr>
          <a:lvl3pPr marL="914400" indent="0">
            <a:defRPr sz="1100">
              <a:solidFill>
                <a:sysClr val="windowText" lastClr="000000"/>
              </a:solidFill>
              <a:latin typeface="Calibri"/>
            </a:defRPr>
          </a:lvl3pPr>
          <a:lvl4pPr marL="1371600" indent="0">
            <a:defRPr sz="1100">
              <a:solidFill>
                <a:sysClr val="windowText" lastClr="000000"/>
              </a:solidFill>
              <a:latin typeface="Calibri"/>
            </a:defRPr>
          </a:lvl4pPr>
          <a:lvl5pPr marL="1828800" indent="0">
            <a:defRPr sz="1100">
              <a:solidFill>
                <a:sysClr val="windowText" lastClr="000000"/>
              </a:solidFill>
              <a:latin typeface="Calibri"/>
            </a:defRPr>
          </a:lvl5pPr>
          <a:lvl6pPr marL="2286000" indent="0">
            <a:defRPr sz="1100">
              <a:solidFill>
                <a:sysClr val="windowText" lastClr="000000"/>
              </a:solidFill>
              <a:latin typeface="Calibri"/>
            </a:defRPr>
          </a:lvl6pPr>
          <a:lvl7pPr marL="2743200" indent="0">
            <a:defRPr sz="1100">
              <a:solidFill>
                <a:sysClr val="windowText" lastClr="000000"/>
              </a:solidFill>
              <a:latin typeface="Calibri"/>
            </a:defRPr>
          </a:lvl7pPr>
          <a:lvl8pPr marL="3200400" indent="0">
            <a:defRPr sz="1100">
              <a:solidFill>
                <a:sysClr val="windowText" lastClr="000000"/>
              </a:solidFill>
              <a:latin typeface="Calibri"/>
            </a:defRPr>
          </a:lvl8pPr>
          <a:lvl9pPr marL="3657600" indent="0">
            <a:defRPr sz="1100">
              <a:solidFill>
                <a:sysClr val="windowText" lastClr="000000"/>
              </a:solidFill>
              <a:latin typeface="Calibri"/>
            </a:defRPr>
          </a:lvl9pPr>
        </a:lstStyle>
        <a:p xmlns:a="http://schemas.openxmlformats.org/drawingml/2006/main">
          <a:r>
            <a:rPr lang="ru-RU" sz="1100">
              <a:solidFill>
                <a:sysClr val="windowText" lastClr="000000"/>
              </a:solidFill>
              <a:latin typeface="Calibri"/>
            </a:rPr>
            <a:t>30587,7</a:t>
          </a:r>
          <a:endParaRPr lang="ru-RU" sz="1100"/>
        </a:p>
      </cdr:txBody>
    </cdr:sp>
  </cdr:relSizeAnchor>
</c:userShapes>
</file>

<file path=word/drawings/drawing4.xml><?xml version="1.0" encoding="utf-8"?>
<c:userShapes xmlns:c="http://schemas.openxmlformats.org/drawingml/2006/chart">
  <cdr:relSizeAnchor xmlns:cdr="http://schemas.openxmlformats.org/drawingml/2006/chartDrawing">
    <cdr:from>
      <cdr:x>0.19216</cdr:x>
      <cdr:y>0.00875</cdr:y>
    </cdr:from>
    <cdr:to>
      <cdr:x>0.50588</cdr:x>
      <cdr:y>0.12143</cdr:y>
    </cdr:to>
    <cdr:sp macro="" textlink="">
      <cdr:nvSpPr>
        <cdr:cNvPr id="2" name="TextBox 1"/>
        <cdr:cNvSpPr txBox="1"/>
      </cdr:nvSpPr>
      <cdr:spPr>
        <a:xfrm xmlns:a="http://schemas.openxmlformats.org/drawingml/2006/main">
          <a:off x="1141512" y="31051"/>
          <a:ext cx="1863630" cy="39987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800" b="1"/>
            <a:t>Динаміка надходжень</a:t>
          </a:r>
          <a:r>
            <a:rPr lang="ru-RU" sz="1800" b="1" baseline="0"/>
            <a:t> а</a:t>
          </a:r>
          <a:r>
            <a:rPr lang="ru-RU" sz="1800" b="1"/>
            <a:t>кцизного податку</a:t>
          </a:r>
        </a:p>
      </cdr:txBody>
    </cdr:sp>
  </cdr:relSizeAnchor>
  <cdr:relSizeAnchor xmlns:cdr="http://schemas.openxmlformats.org/drawingml/2006/chartDrawing">
    <cdr:from>
      <cdr:x>0.14194</cdr:x>
      <cdr:y>0.2929</cdr:y>
    </cdr:from>
    <cdr:to>
      <cdr:x>0.21384</cdr:x>
      <cdr:y>0.35198</cdr:y>
    </cdr:to>
    <cdr:sp macro="" textlink="">
      <cdr:nvSpPr>
        <cdr:cNvPr id="3" name="TextBox 2"/>
        <cdr:cNvSpPr txBox="1"/>
      </cdr:nvSpPr>
      <cdr:spPr>
        <a:xfrm xmlns:a="http://schemas.openxmlformats.org/drawingml/2006/main">
          <a:off x="843201" y="1039422"/>
          <a:ext cx="427117" cy="209656"/>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23024,0</a:t>
          </a:r>
        </a:p>
      </cdr:txBody>
    </cdr:sp>
  </cdr:relSizeAnchor>
  <cdr:relSizeAnchor xmlns:cdr="http://schemas.openxmlformats.org/drawingml/2006/chartDrawing">
    <cdr:from>
      <cdr:x>0.25067</cdr:x>
      <cdr:y>0.17443</cdr:y>
    </cdr:from>
    <cdr:to>
      <cdr:x>0.33825</cdr:x>
      <cdr:y>0.24879</cdr:y>
    </cdr:to>
    <cdr:sp macro="" textlink="">
      <cdr:nvSpPr>
        <cdr:cNvPr id="4" name="TextBox 3"/>
        <cdr:cNvSpPr txBox="1"/>
      </cdr:nvSpPr>
      <cdr:spPr>
        <a:xfrm xmlns:a="http://schemas.openxmlformats.org/drawingml/2006/main">
          <a:off x="1489078" y="619008"/>
          <a:ext cx="520262" cy="26386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30403,0</a:t>
          </a:r>
        </a:p>
      </cdr:txBody>
    </cdr:sp>
  </cdr:relSizeAnchor>
  <cdr:relSizeAnchor xmlns:cdr="http://schemas.openxmlformats.org/drawingml/2006/chartDrawing">
    <cdr:from>
      <cdr:x>0.37576</cdr:x>
      <cdr:y>0.11971</cdr:y>
    </cdr:from>
    <cdr:to>
      <cdr:x>0.45158</cdr:x>
      <cdr:y>0.18754</cdr:y>
    </cdr:to>
    <cdr:sp macro="" textlink="">
      <cdr:nvSpPr>
        <cdr:cNvPr id="5" name="TextBox 4"/>
        <cdr:cNvSpPr txBox="1"/>
      </cdr:nvSpPr>
      <cdr:spPr>
        <a:xfrm xmlns:a="http://schemas.openxmlformats.org/drawingml/2006/main">
          <a:off x="2232168" y="424826"/>
          <a:ext cx="450403" cy="240707"/>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33000,0</a:t>
          </a:r>
        </a:p>
      </cdr:txBody>
    </cdr:sp>
  </cdr:relSizeAnchor>
  <cdr:relSizeAnchor xmlns:cdr="http://schemas.openxmlformats.org/drawingml/2006/chartDrawing">
    <cdr:from>
      <cdr:x>0.49409</cdr:x>
      <cdr:y>0.10864</cdr:y>
    </cdr:from>
    <cdr:to>
      <cdr:x>0.59304</cdr:x>
      <cdr:y>0.19252</cdr:y>
    </cdr:to>
    <cdr:sp macro="" textlink="">
      <cdr:nvSpPr>
        <cdr:cNvPr id="6" name="TextBox 5"/>
        <cdr:cNvSpPr txBox="1"/>
      </cdr:nvSpPr>
      <cdr:spPr>
        <a:xfrm xmlns:a="http://schemas.openxmlformats.org/drawingml/2006/main">
          <a:off x="2935130" y="385522"/>
          <a:ext cx="587806" cy="297663"/>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34000,0</a:t>
          </a:r>
        </a:p>
      </cdr:txBody>
    </cdr:sp>
  </cdr:relSizeAnchor>
  <cdr:relSizeAnchor xmlns:cdr="http://schemas.openxmlformats.org/drawingml/2006/chartDrawing">
    <cdr:from>
      <cdr:x>0.62381</cdr:x>
      <cdr:y>0.09318</cdr:y>
    </cdr:from>
    <cdr:to>
      <cdr:x>0.72751</cdr:x>
      <cdr:y>0.1777</cdr:y>
    </cdr:to>
    <cdr:sp macro="" textlink="">
      <cdr:nvSpPr>
        <cdr:cNvPr id="7" name="TextBox 6"/>
        <cdr:cNvSpPr txBox="1"/>
      </cdr:nvSpPr>
      <cdr:spPr>
        <a:xfrm xmlns:a="http://schemas.openxmlformats.org/drawingml/2006/main">
          <a:off x="3705682" y="330677"/>
          <a:ext cx="616039" cy="299935"/>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a:t>35100,0</a:t>
          </a:r>
        </a:p>
      </cdr:txBody>
    </cdr:sp>
  </cdr:relSizeAnchor>
  <cdr:relSizeAnchor xmlns:cdr="http://schemas.openxmlformats.org/drawingml/2006/chartDrawing">
    <cdr:from>
      <cdr:x>0.09736</cdr:x>
      <cdr:y>0.15994</cdr:y>
    </cdr:from>
    <cdr:to>
      <cdr:x>0.19142</cdr:x>
      <cdr:y>0.21588</cdr:y>
    </cdr:to>
    <cdr:sp macro="" textlink="">
      <cdr:nvSpPr>
        <cdr:cNvPr id="8" name="TextBox 7"/>
        <cdr:cNvSpPr txBox="1"/>
      </cdr:nvSpPr>
      <cdr:spPr>
        <a:xfrm xmlns:a="http://schemas.openxmlformats.org/drawingml/2006/main">
          <a:off x="578331" y="567559"/>
          <a:ext cx="558756" cy="19852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1"/>
            <a:t>Всього</a:t>
          </a:r>
        </a:p>
      </cdr:txBody>
    </cdr:sp>
  </cdr:relSizeAnchor>
</c:userShapes>
</file>

<file path=word/drawings/drawing5.xml><?xml version="1.0" encoding="utf-8"?>
<c:userShapes xmlns:c="http://schemas.openxmlformats.org/drawingml/2006/chart">
  <cdr:relSizeAnchor xmlns:cdr="http://schemas.openxmlformats.org/drawingml/2006/chartDrawing">
    <cdr:from>
      <cdr:x>0.2169</cdr:x>
      <cdr:y>0.68881</cdr:y>
    </cdr:from>
    <cdr:to>
      <cdr:x>0.30986</cdr:x>
      <cdr:y>0.78846</cdr:y>
    </cdr:to>
    <cdr:sp macro="" textlink="">
      <cdr:nvSpPr>
        <cdr:cNvPr id="2" name="Стрелка вправо 1"/>
        <cdr:cNvSpPr/>
      </cdr:nvSpPr>
      <cdr:spPr>
        <a:xfrm xmlns:a="http://schemas.openxmlformats.org/drawingml/2006/main">
          <a:off x="1466850" y="3752849"/>
          <a:ext cx="628651" cy="542926"/>
        </a:xfrm>
        <a:prstGeom xmlns:a="http://schemas.openxmlformats.org/drawingml/2006/main" prst="rightArrow">
          <a:avLst/>
        </a:prstGeom>
        <a:gradFill xmlns:a="http://schemas.openxmlformats.org/drawingml/2006/main">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r>
            <a:rPr lang="ru-RU" sz="800" b="1">
              <a:solidFill>
                <a:schemeClr val="tx1"/>
              </a:solidFill>
            </a:rPr>
            <a:t>202,4%</a:t>
          </a:r>
        </a:p>
      </cdr:txBody>
    </cdr:sp>
  </cdr:relSizeAnchor>
  <cdr:relSizeAnchor xmlns:cdr="http://schemas.openxmlformats.org/drawingml/2006/chartDrawing">
    <cdr:from>
      <cdr:x>0.39296</cdr:x>
      <cdr:y>0.58392</cdr:y>
    </cdr:from>
    <cdr:to>
      <cdr:x>0.5016</cdr:x>
      <cdr:y>0.68357</cdr:y>
    </cdr:to>
    <cdr:sp macro="" textlink="">
      <cdr:nvSpPr>
        <cdr:cNvPr id="8" name="Стрелка вправо 7"/>
        <cdr:cNvSpPr/>
      </cdr:nvSpPr>
      <cdr:spPr>
        <a:xfrm xmlns:a="http://schemas.openxmlformats.org/drawingml/2006/main">
          <a:off x="2335597" y="2602940"/>
          <a:ext cx="645728" cy="444210"/>
        </a:xfrm>
        <a:prstGeom xmlns:a="http://schemas.openxmlformats.org/drawingml/2006/main" prst="rightArrow">
          <a:avLst/>
        </a:prstGeom>
        <a:gradFill xmlns:a="http://schemas.openxmlformats.org/drawingml/2006/main">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a:ln xmlns:a="http://schemas.openxmlformats.org/drawingml/2006/main" w="25400" cap="flat" cmpd="sng" algn="ctr">
          <a:solidFill>
            <a:srgbClr val="4F81BD">
              <a:shade val="50000"/>
            </a:srgbClr>
          </a:solidFill>
          <a:prstDash val="solid"/>
        </a:ln>
        <a:effectLst xmlns:a="http://schemas.openxmlformats.org/drawingml/2006/mai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ysClr val="window" lastClr="FFFFFF"/>
              </a:solidFill>
              <a:latin typeface="Calibri"/>
            </a:defRPr>
          </a:lvl1pPr>
          <a:lvl2pPr marL="457200" indent="0">
            <a:defRPr sz="1100">
              <a:solidFill>
                <a:sysClr val="window" lastClr="FFFFFF"/>
              </a:solidFill>
              <a:latin typeface="Calibri"/>
            </a:defRPr>
          </a:lvl2pPr>
          <a:lvl3pPr marL="914400" indent="0">
            <a:defRPr sz="1100">
              <a:solidFill>
                <a:sysClr val="window" lastClr="FFFFFF"/>
              </a:solidFill>
              <a:latin typeface="Calibri"/>
            </a:defRPr>
          </a:lvl3pPr>
          <a:lvl4pPr marL="1371600" indent="0">
            <a:defRPr sz="1100">
              <a:solidFill>
                <a:sysClr val="window" lastClr="FFFFFF"/>
              </a:solidFill>
              <a:latin typeface="Calibri"/>
            </a:defRPr>
          </a:lvl4pPr>
          <a:lvl5pPr marL="1828800" indent="0">
            <a:defRPr sz="1100">
              <a:solidFill>
                <a:sysClr val="window" lastClr="FFFFFF"/>
              </a:solidFill>
              <a:latin typeface="Calibri"/>
            </a:defRPr>
          </a:lvl5pPr>
          <a:lvl6pPr marL="2286000" indent="0">
            <a:defRPr sz="1100">
              <a:solidFill>
                <a:sysClr val="window" lastClr="FFFFFF"/>
              </a:solidFill>
              <a:latin typeface="Calibri"/>
            </a:defRPr>
          </a:lvl6pPr>
          <a:lvl7pPr marL="2743200" indent="0">
            <a:defRPr sz="1100">
              <a:solidFill>
                <a:sysClr val="window" lastClr="FFFFFF"/>
              </a:solidFill>
              <a:latin typeface="Calibri"/>
            </a:defRPr>
          </a:lvl7pPr>
          <a:lvl8pPr marL="3200400" indent="0">
            <a:defRPr sz="1100">
              <a:solidFill>
                <a:sysClr val="window" lastClr="FFFFFF"/>
              </a:solidFill>
              <a:latin typeface="Calibri"/>
            </a:defRPr>
          </a:lvl8pPr>
          <a:lvl9pPr marL="3657600" indent="0">
            <a:defRPr sz="1100">
              <a:solidFill>
                <a:sysClr val="window" lastClr="FFFFFF"/>
              </a:solidFill>
              <a:latin typeface="Calibri"/>
            </a:defRPr>
          </a:lvl9pPr>
        </a:lstStyle>
        <a:p xmlns:a="http://schemas.openxmlformats.org/drawingml/2006/main">
          <a:r>
            <a:rPr lang="ru-RU" sz="800" b="1">
              <a:solidFill>
                <a:schemeClr val="tx1"/>
              </a:solidFill>
            </a:rPr>
            <a:t>109,1%</a:t>
          </a:r>
        </a:p>
      </cdr:txBody>
    </cdr:sp>
  </cdr:relSizeAnchor>
  <cdr:relSizeAnchor xmlns:cdr="http://schemas.openxmlformats.org/drawingml/2006/chartDrawing">
    <cdr:from>
      <cdr:x>0.57465</cdr:x>
      <cdr:y>0.51399</cdr:y>
    </cdr:from>
    <cdr:to>
      <cdr:x>0.68269</cdr:x>
      <cdr:y>0.61364</cdr:y>
    </cdr:to>
    <cdr:sp macro="" textlink="">
      <cdr:nvSpPr>
        <cdr:cNvPr id="9" name="Стрелка вправо 8"/>
        <cdr:cNvSpPr/>
      </cdr:nvSpPr>
      <cdr:spPr>
        <a:xfrm xmlns:a="http://schemas.openxmlformats.org/drawingml/2006/main">
          <a:off x="3415490" y="2291213"/>
          <a:ext cx="642160" cy="444210"/>
        </a:xfrm>
        <a:prstGeom xmlns:a="http://schemas.openxmlformats.org/drawingml/2006/main" prst="rightArrow">
          <a:avLst/>
        </a:prstGeom>
        <a:gradFill xmlns:a="http://schemas.openxmlformats.org/drawingml/2006/main">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ru-RU" sz="800" b="1">
              <a:solidFill>
                <a:schemeClr val="tx1"/>
              </a:solidFill>
            </a:rPr>
            <a:t>109,5%</a:t>
          </a:r>
        </a:p>
      </cdr:txBody>
    </cdr:sp>
  </cdr:relSizeAnchor>
  <cdr:relSizeAnchor xmlns:cdr="http://schemas.openxmlformats.org/drawingml/2006/chartDrawing">
    <cdr:from>
      <cdr:x>0.75493</cdr:x>
      <cdr:y>0.40909</cdr:y>
    </cdr:from>
    <cdr:to>
      <cdr:x>0.86218</cdr:x>
      <cdr:y>0.50874</cdr:y>
    </cdr:to>
    <cdr:sp macro="" textlink="">
      <cdr:nvSpPr>
        <cdr:cNvPr id="10" name="Стрелка вправо 9"/>
        <cdr:cNvSpPr/>
      </cdr:nvSpPr>
      <cdr:spPr>
        <a:xfrm xmlns:a="http://schemas.openxmlformats.org/drawingml/2006/main">
          <a:off x="4487002" y="1823600"/>
          <a:ext cx="637448" cy="444210"/>
        </a:xfrm>
        <a:prstGeom xmlns:a="http://schemas.openxmlformats.org/drawingml/2006/main" prst="rightArrow">
          <a:avLst/>
        </a:prstGeom>
        <a:gradFill xmlns:a="http://schemas.openxmlformats.org/drawingml/2006/main">
          <a:gsLst>
            <a:gs pos="0">
              <a:srgbClr val="4F81BD">
                <a:tint val="66000"/>
                <a:satMod val="160000"/>
              </a:srgbClr>
            </a:gs>
            <a:gs pos="50000">
              <a:srgbClr val="4F81BD">
                <a:tint val="44500"/>
                <a:satMod val="160000"/>
              </a:srgbClr>
            </a:gs>
            <a:gs pos="100000">
              <a:srgbClr val="4F81BD">
                <a:tint val="23500"/>
                <a:satMod val="160000"/>
              </a:srgbClr>
            </a:gs>
          </a:gsLst>
          <a:lin ang="5400000" scaled="0"/>
        </a:gradFill>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a:lstStyle xmlns:a="http://schemas.openxmlformats.org/drawingml/2006/main">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xmlns:a="http://schemas.openxmlformats.org/drawingml/2006/main">
          <a:r>
            <a:rPr lang="ru-RU" sz="800" b="1">
              <a:solidFill>
                <a:schemeClr val="tx1"/>
              </a:solidFill>
            </a:rPr>
            <a:t>106,8%</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B5D604-87C0-45B0-A48F-F79835BDE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31</Pages>
  <Words>7164</Words>
  <Characters>40839</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Oksana</dc:creator>
  <cp:lastModifiedBy>Ліля</cp:lastModifiedBy>
  <cp:revision>3</cp:revision>
  <cp:lastPrinted>2021-08-11T11:11:00Z</cp:lastPrinted>
  <dcterms:created xsi:type="dcterms:W3CDTF">2021-08-27T07:18:00Z</dcterms:created>
  <dcterms:modified xsi:type="dcterms:W3CDTF">2021-09-20T11:15:00Z</dcterms:modified>
</cp:coreProperties>
</file>